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DAAJ/38/2021 vom 18. November 2020</w:t>
      </w:r>
    </w:p>
    <w:p>
      <w:r>
        <w:t>GE Cour de justice, 2020-11-18, FR</w:t>
      </w:r>
    </w:p>
    <w:p>
      <w:r>
        <w:rPr>
          <w:b/>
        </w:rPr>
        <w:t xml:space="preserve">Quelle: </w:t>
      </w:r>
      <w:r>
        <w:t>https://mcp.opencaselaw.ch/entscheid/ge_gerichte_DAAJ_38_2021</w:t>
      </w:r>
    </w:p>
    <w:p>
      <w:r>
        <w:t>FR: GE_GERICHTE DAAJ/38/2021 du 18 novembre 2020</w:t>
      </w:r>
    </w:p>
    <w:p>
      <w:r>
        <w:t>IT: GE_GERICHTE DAAJ/38/2021 del 18 novembre 2020</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(RCJ -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t>- 4/7 -</w:t>
      </w:r>
    </w:p>
    <w:p>
      <w:r>
        <w:t>AC/3283/2020</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3.2.1.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2C_74/2019 du 13 mai 2019 consid. 3.1). Cela n’implique pas une audition personnelle de l’intéressé, celui-ci devant simplement disposer d’une occasion de se déterminer sur les éléments propres à influer sur l’issue de la cause (art. 41 LPA; ATF 140 I 68</w:t>
      </w:r>
    </w:p>
    <w:p>
      <w:r>
        <w:t>- 5/7 -</w:t>
      </w:r>
    </w:p>
    <w:p>
      <w:r>
        <w:t>AC/3283/2020 consid. 9.6; arrêts du Tribunal fédéral 1C_83/2019 du 29 janvier 2020 consid. 3.2; 2C_236/2019 du 4 juillet 2019 consid. 5.2).</w:t>
      </w:r>
    </w:p>
    <w:p>
      <w:r>
        <w:rPr>
          <w:b/>
        </w:rPr>
        <w:t>E. 3.2.2</w:t>
      </w:r>
    </w:p>
    <w:p>
      <w:r>
        <w:t>Une décision entreprise pour violation du droit d’être entendu n’est pas nulle mais annulable (ATF 143 IV 380 consid. 1.4.1; arrêt du Tribunal fédéral 6B_114/2018 du 31 juillet 2018 consid. 2.1; ATA/91/2020 du 28 janvier 2020 consid. 4). En effet, selon un principe général, la nullité d'un acte commis en violation de la loi doit résulter ou bien d'une disposition légale expresse, ou bien du sens et du but de la norme en question (ATF 122 I 97 consid. 3; 119 II 147 consid. 4a). En d'autres termes, il n'y a lieu d'admettre la nullité, hormis les cas expressément prévus par la loi, qu'à titre exceptionnel, lorsque les circonstances sont telles que le système d'annulabilité n'offre manifestement pas la protection nécessaire (ATF 130 II 249 consid. 2.4; arrêt du Tribunal fédéral 1C_111/2016 du 8 décembre 2016 consid. 5; ATA/91/2020 du 28 janvier 2020 consid. 4).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139 II 243 consid. 11.2; 138 II 501 consid. 3.1; arrêt du Tribunal fédéral 2C_164/2019 du 18 avril 2019 consid.3.2).</w:t>
      </w:r>
    </w:p>
    <w:p>
      <w:r>
        <w:rPr>
          <w:b/>
        </w:rPr>
        <w:t>E. 3.2.3</w:t>
      </w:r>
    </w:p>
    <w:p>
      <w:r>
        <w:t>En l'espèce, dans sa requête d'assistance juridique, le recourant a affirmé ne pas avoir pu faire valoir ses offres de preuves et moyens de droit, de sorte que la décision du 13 octobre 2020 serait nulle. Néanmoins, il ressort de ladite décision que l'OCPM a informé le recourant le 5 juin 2020 de son intention de refuser la délivrance d'une autorisation de séjour et que ce dernier s'est ensuite déterminé les 22 juin et 19 août 2020.</w:t>
      </w:r>
    </w:p>
    <w:p>
      <w:r>
        <w:t>L'OCPM n'a ainsi à première vue pas violé le droit d'être entendu du recourant, comme l'a à juste titre constaté l'Autorité précédente.</w:t>
      </w:r>
    </w:p>
    <w:p>
      <w:r>
        <w:rPr>
          <w:b/>
        </w:rPr>
        <w:t>E. 3.3</w:t>
      </w:r>
    </w:p>
    <w:p>
      <w:r>
        <w:t>3.3.1. Le 1er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w:t>
      </w:r>
    </w:p>
    <w:p>
      <w:r>
        <w:rPr>
          <w:b/>
        </w:rPr>
        <w:t>E. 3.3.2</w:t>
      </w:r>
    </w:p>
    <w:p>
      <w:r>
        <w:t>Si le titulaire d’une autorisation de courte durée ou de séjour veut déplacer son lieu de résidence dans un autre canton, il doit solliciter au préalable une autorisation de ce dernier (art. 37 al. 1 LEI et 67 al. 1 OASA). Le titulaire d’une autorisation de séjour a</w:t>
      </w:r>
    </w:p>
    <w:p>
      <w:r>
        <w:t>- 6/7 -</w:t>
      </w:r>
    </w:p>
    <w:p>
      <w:r>
        <w:t>AC/3283/2020 droit au changement de canton s’il n’est pas au chômage et qu’il n’existe aucun motif de révocation au sens de l’art. 62 al. 1 LEI (art. 37 al. 2 LEI). L’autorité compétente peut révoquer une autorisation, à l’exception de l’autorisation d’établissement, ou une autre décision fondée sur la LEI, notamment lorsque l'étranger a été condamné à une peine privative de liberté de longue durée ou a fait l’objet d’une mesure pénale prévue aux art. 59 à 61 ou 64 CP (let. b), lorsque l’étranger attente de manière grave ou répétée à la sécurité et l’ordre publics en Suisse ou à l’étranger, les met en danger ou représente une menace pour la sécurité intérieure ou extérieure de la Suisse (let. c) ou lorsque l’étranger lui-même ou une personne dont il a la charge dépend de l’aide sociale (let. d ; art. 62 al. 1 LEI).</w:t>
      </w:r>
    </w:p>
    <w:p>
      <w:r>
        <w:rPr>
          <w:b/>
        </w:rPr>
        <w:t>E. 3.3.3</w:t>
      </w:r>
    </w:p>
    <w:p>
      <w:r>
        <w:t>En l'espèce, l'Autorité précédente a retenu, premièrement, que le recourant n'était plus au bénéfice d'un titre de séjour valable en Suisse, ensuite, qu'au moins deux motifs de révocation étaient réalisés, le recourant faisant l'objet d'une mesure institutionnelle au sens de l'art. 60 CP et ayant émargé à l'aide sociale jusqu'en août 2019, et, finalement, que ce dernier avait indiqué vouloir se réinstaller dans le canton de Lucerne, dont les autorités seraient dès lors compétentes pour statuer sur une nouvelle demande d'autorisation de séjour. Le recourant ne conteste pas ce raisonnement, qui apparaît conforme au dossier et ne semble a priori pas critiquable. Par conséquent, le refus de changement de canton apparaît à première vue conforme au droit. Dans ces circonstances, un recours contre la décision de l'OCPM du 13 octobre 2020 semble a priori dénué de chances de succès. C'est donc de manière conforme au droit que l'Autorité de première instance a refusé d'octroyer le bénéfice de l'assistance juridique au recourant.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w:t>
      </w:r>
    </w:p>
    <w:p>
      <w:r>
        <w:t>* * * * *</w:t>
      </w:r>
    </w:p>
    <w:p>
      <w:r>
        <w:t>- 7/7 -</w:t>
      </w:r>
    </w:p>
    <w:p>
      <w:r>
        <w:t>AC/3283/2020 PAR CES MOTIFS, LE VICE-PRÉSIDENT DE LA COUR : A la forme : Déclare recevable le recours formé par A______ contre la décision rendue le 18 novembre 2020 par la Vice-présidente du Tribunal de première instance dans la cause AC/3283/2020. Au fond : Le rejette. Déboute A______ de toutes autres conclusions. Dit qu'il n'est pas perçu de frais judiciaires pour le recours, ni alloué de dépens. Notifie une copie de la présente décision à A______ en l'Étude de Me C______ (art. 137 CPC).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