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DAAJ/38/2020 vom 7. Februar 2020</w:t>
      </w:r>
    </w:p>
    <w:p>
      <w:r>
        <w:t>GE Cour de justice, 2020-02-07, FR</w:t>
      </w:r>
    </w:p>
    <w:p>
      <w:r>
        <w:rPr>
          <w:b/>
        </w:rPr>
        <w:t xml:space="preserve">Quelle: </w:t>
      </w:r>
      <w:r>
        <w:t>https://mcp.opencaselaw.ch/entscheid/ge_gerichte_DAAJ_38_2020</w:t>
      </w:r>
    </w:p>
    <w:p>
      <w:r>
        <w:t>FR: GE_GERICHTE DAAJ/38/2020 du 7 février 2020</w:t>
      </w:r>
    </w:p>
    <w:p>
      <w:r>
        <w:t>IT: GE_GERICHTE DAAJ/38/2020 del 7 febbraio 2020</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auprès de la présidente de la Cour de justice (art. 121 CPC, 21 al. 3 LaCC, 11 et 19 al. 5 RAJ), compétence expressément déléguée au vice-président</w:t>
      </w:r>
    </w:p>
    <w:p>
      <w:r>
        <w:t>- 3/4 -</w:t>
      </w:r>
    </w:p>
    <w:p>
      <w:r>
        <w:t>AC/2811/2005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2.2</w:t>
      </w:r>
    </w:p>
    <w:p>
      <w:r>
        <w:t>En l'espèce, contrairement à ce qu'indique le recourant, la pension alimentaire versée par ce dernier à son fils a été prise en compte par l'Autorité de première instance dans l'établissement des charges du ménage, puisqu'une somme de 712 fr. par mois a été retenue à cet égard. En outre, même à suivre le recourant qui soutient ne plus percevoir d'allocation de logement en 333 fr. 35 par mois depuis qu'il touche des prestations complémentaires, le ménage qu'il forme avec son épouse disposerait tout de même d'un solde disponible d'environ 850 fr. par mois, lequel serait suffisant pour rembourser une partie des prestations versées par l'Etat. Quant aux autres dépenses alléguées (500 fr. pour l'obtention du permis d'établissement et 150 fr. par mois d'arriérés dus au Service des contraventions), celles-ci n'ont pas été établies, de sorte que c'est à juste titre que l'Autorité de première instance n'en a pas tenu compte dans l'examen de la nouvelle situation financière du recourant. Il s'ensuit que la Vice-Présidente du Tribunal de première instance n'a pas violé la loi en condamnant le recourant au remboursement d'un montant de 5'000 fr. Partant, le recours, infondé, sera rejeté. Le recourant pourra, le cas échéant, demander à payer cette somme par mensualités, en convenant d'un arrangement de paiement avec les Services financiers du Pouvoir judiciaire.</w:t>
      </w:r>
    </w:p>
    <w:p>
      <w:r>
        <w:rPr>
          <w:b/>
        </w:rPr>
        <w:t>E. 3</w:t>
      </w:r>
    </w:p>
    <w:p>
      <w:r>
        <w:t>Sauf exceptions non réalisées en l'espèce, il n'est pas perçu de frais judiciaires pour la procédure d'assistance juridique (art. 119 al. 6 CPC). * * * * *</w:t>
      </w:r>
    </w:p>
    <w:p>
      <w:r>
        <w:t>- 4/4 -</w:t>
      </w:r>
    </w:p>
    <w:p>
      <w:r>
        <w:t>AC/2811/2005</w:t>
      </w:r>
    </w:p>
    <w:p>
      <w:r>
        <w:t>PAR CES MOTIFS, LE VICE-PRÉSIDENT DE LA COUR : A la forme : Déclare recevable le recours formé le 27 février 2020 par A______ contre la décision rendue le 7 février 2020 par la Vice-présidente du Tribunal de première instance dans la cause AC/2811/2005. Au fond : Le rejette. Déboute A______ de toutes autres conclusions. Dit qu'il n'est pas perçu de frais judiciaires pour le recours. Notifie une copie de la présente décision à A______ (art. 327 al. 5 CPC et 8 al. 3 RAJ). Siégeant : Monsieur Patrick CHENAUX, Vice-président ; Madame Maïté VALENTE,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