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DAAJ/36/2015 vom 8. April 2015</w:t>
      </w:r>
    </w:p>
    <w:p>
      <w:r>
        <w:t>GE Cour de justice, 2015-04-08, FR</w:t>
      </w:r>
    </w:p>
    <w:p>
      <w:r>
        <w:rPr>
          <w:b/>
        </w:rPr>
        <w:t xml:space="preserve">Quelle: </w:t>
      </w:r>
      <w:r>
        <w:t>https://mcp.opencaselaw.ch/entscheid/ge_gerichte_DAAJ_36_2015</w:t>
      </w:r>
    </w:p>
    <w:p>
      <w:r>
        <w:t>FR: GE_GERICHTE DAAJ/36/2015 du 8 avril 2015</w:t>
      </w:r>
    </w:p>
    <w:p>
      <w:r>
        <w:t>IT: GE_GERICHTE DAAJ/36/2015 del 8 aprile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le recours a été formé dans le délai légal de 30 jours - dès la notification de la décision querellée le 10 avril 2015 - auprès d'une fausse juridiction, après quoi il est parvenu, toujours dans ce délai, le 28 avril 2015 au plus tard, à l'autorité de céans. Par ailleurs, bien que la recourante ne conclut pas formellement à l'annulation de la décision querellée, ce serait faire preuve de formalisme excessif que de déclarer son recours irrecevable. En effet, agissant en personne, elle requiert l'octroi de l'assistance juridique, soit implicitement l'annulation de la décision querellée qui lui refuse cette assistance. Le recours a en outre été interjeté en la forme écrite prescrite par la loi. Au vu de ce qui précède, le recours est recevable.</w:t>
      </w:r>
    </w:p>
    <w:p>
      <w:r>
        <w:rPr>
          <w:b/>
        </w:rPr>
        <w:t>E. 1.3</w:t>
      </w:r>
    </w:p>
    <w:p>
      <w:r>
        <w:t>Lorsque la Cour est saisie d'un recours (art. 10 al. 3 LPA), son pouvoir d'examen est limité à la violation du droit et à la constatation manifestement inexacte des faits</w:t>
      </w:r>
    </w:p>
    <w:p>
      <w:r>
        <w:t>- 4/7 -</w:t>
      </w:r>
    </w:p>
    <w:p>
      <w:r>
        <w:t>AC/1024/2015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La question de la nécessité d'un avocat n'est plus litigieuse, dès lors que la recourante a précisé requérir l'assistance juridique uniquement pour l'avance de frais du recours devant le TAPI.</w:t>
      </w:r>
    </w:p>
    <w:p>
      <w:r>
        <w:rPr>
          <w:b/>
        </w:rPr>
        <w:t>E. 2.1</w:t>
      </w:r>
    </w:p>
    <w:p>
      <w:r>
        <w:t>L'octroi de l'assistance juridique est subordonné à la condition que le requérant soit dans l'indigence et que sa cause ne paraisse pas dépourvue de toute chances de succès (art. 29 al. 3 Cst. et 117 let. a et b CPC). Une personne est indigente lorsqu'elle ne peut assurer les frais liés à la défense de ses intérêts sans porter atteinte au minimum nécessaire à son entretien et à celui de sa famille (ATF 135 I 221 consid. 5.1 ; 128 I 225 consid. 2.5.1). L'entretien d'un enfant majeur qui suit une formation est pris en compte dans le calcul du minimum vital d'un requérant d'assistance juridique (SJ 2000 II 199, 216; normes d'insaisissabilité pour l'année 2015, ch. II, no 6; art. 277 CC).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Dans tous les cas, seules les charges réellement acquittées sont susceptibles d'entrer dans le calcul du minimum vital. Les dettes anciennes, pour lesquelles le débiteur ne verse plus rien, n'entrent pas en ligne de compte (ATF 135 I 221 consid. 5.1).</w:t>
      </w:r>
    </w:p>
    <w:p>
      <w:r>
        <w:t>- 5/7 -</w:t>
      </w:r>
    </w:p>
    <w:p>
      <w:r>
        <w:t>AC/1024/2015</w:t>
      </w:r>
    </w:p>
    <w:p>
      <w:r>
        <w:rPr>
          <w:b/>
        </w:rPr>
        <w:t>E. 2.2</w:t>
      </w:r>
    </w:p>
    <w:p>
      <w:r>
        <w:t>En l'espèce, dès lors que la fille de la recourante poursuit actuellement des études, il convient de tenir compte de son entretien dans le minimum vital de la recourante. Le montant de base selon les normes d'insaisissabilité de l'office des poursuites relatif à la fille de la recourante s'élève à 600 fr., étant précisé que celle-ci ne fait - si ce n'est le week-end -, pas ménage commun avec la recourante. A cela s'ajoute à tout le moins la prime d'assurance-maladie de 396 fr. Les charges retenues par l'autorité de première instance sont donc augmentées de 996 fr. (600 fr. + 396 fr.). Il découle de ce qui précède que la recourante ne bénéficie pas du solde disponible de 990 fr. 45 retenu par l'autorité de première instance et que la condition d'indigence est réalisée. Le grief de la recourante relatif au mauvais établissement de ses charges est donc fondé.</w:t>
      </w:r>
    </w:p>
    <w:p>
      <w:r>
        <w:rPr>
          <w:b/>
        </w:rPr>
        <w:t>E. 3</w:t>
      </w:r>
    </w:p>
    <w:p>
      <w:r>
        <w:t>Le vice-président du Tribunal civil ayant rejeté la requête dès lors qu'à son avis la condition d'indigence n'était pas réalisée, il n'a pas examiné si le recours devant le TAPI présentait des chances de succès. Il sied donc de vérifier si cette condition d'octroi de l'assistance juridique est remplie, le dossier contenant les éléments utiles à cet égard.</w:t>
      </w:r>
    </w:p>
    <w:p>
      <w:r>
        <w:rPr>
          <w:b/>
        </w:rPr>
        <w:t>E. 3.1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rPr>
          <w:b/>
        </w:rPr>
        <w:t>E. 3.2</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w:t>
      </w:r>
    </w:p>
    <w:p>
      <w:r>
        <w:t>- 6/7 -</w:t>
      </w:r>
    </w:p>
    <w:p>
      <w:r>
        <w:t>AC/1024/2015 Commet une infraction moyennement grave la personne qui, en violant les règles de la circulation, crée un danger pour la sécurité d'autrui ou en prend le risque (art. 16b al. 1 let. a LCR). Après une infraction moyennement grave, le permis d'élève conducteur ou le permis de conduire est retiré pour un mois au minimum (art. 16c al. 2 let. a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Cette règle s'impose aux tribunaux sans dérogation possible, les durées de retrait minimales prévues par la loi ayant un caractère incompressible, même en présence de besoins professionnels particuliers du conducteur ou de raisons de santé (arrêt du Tribunal fédéral 1C_593/2013 du 25 juin 2013, ATF 135 II 334 consid. 2.2 = JdT 2010 I p. 533).</w:t>
      </w:r>
    </w:p>
    <w:p>
      <w:r>
        <w:rPr>
          <w:b/>
        </w:rPr>
        <w:t>E. 3.3</w:t>
      </w:r>
    </w:p>
    <w:p>
      <w:r>
        <w:t>En l'espèce, la recourante ne conteste pas les faits qui lui sont reprochés par le Service cantonal des véhicules, ni le caractère justifié du prononcé d'une mesure à son encontre. En ne respectant pas les priorités qui s'imposaient, la recourante a violé les règles de la circulation et a mis en danger la sécurité d'un cycliste. Ces faits, à la lumière de l'art. 16b al. 1 let. a LCR, entrent dans la catégorie des infractions moyennement graves. En cas d'infraction moyennement grave, la loi prévoit que le permis de conduire est retiré (art. 16c al. 2 let. a LCR), la durée minimum étant d'un mois. La loi ne prévoit pas d'autres mesures alternatives et le minimum d'un mois ne peut pas être réduit, notamment pour des motifs médicaux, selon la loi et la jurisprudence susmentionnées. Il en découle que le recours interjeté devant le TAPI est a priori dénué de toutes chances de succès. Dès lors, même si les griefs de la recourante relatifs à la condition d'indigence sont fondés, la requête d'assistance juridique doit être refusée, en l'absence de chances de succès du recours devant le TAPI. Par conséquent, le recours sera rejeté.</w:t>
      </w:r>
    </w:p>
    <w:p>
      <w:r>
        <w:rPr>
          <w:b/>
        </w:rPr>
        <w:t>E. 4</w:t>
      </w:r>
    </w:p>
    <w:p>
      <w:r>
        <w:t>Sauf exceptions non réalisées en l'espèce, il n'est pas perçu de frais judiciaires pour la procédure d'assistance juridique (art. 119 al. 6 CPC). * * * * *</w:t>
      </w:r>
    </w:p>
    <w:p>
      <w:r>
        <w:t>- 7/7 -</w:t>
      </w:r>
    </w:p>
    <w:p>
      <w:r>
        <w:t>AC/1024/2015 PAR CES MOTIFS, LE VICE-PRÉSIDENT DE LA COUR : A la forme : Déclare recevable le recours formé par A______ contre la décision rendue le 8 avril 2015 par le Vice-président du Tribunal civil dans la cause AC/1024/2015. Au fond : Le rejette. Déboute A______ de toutes autres conclusions. Dit qu'il n'est pas perçu de frais judiciaires pour le recours. Notifie une copie de la présente décision à A______ (art. 327 al. 5 CPC et 8 al. 3 RAJ). Siégeant : Monsieur Jean-Marc STRUBIN, vice-président; Madame Anne-Lise JAQUIER, greffière.</w:t>
      </w:r>
    </w:p>
    <w:p>
      <w:r>
        <w:t>Le vice-président : Jean-Marc STRUBIN</w:t>
      </w:r>
    </w:p>
    <w:p>
      <w:r>
        <w:t>La greffière : Anne-Lise JAQUIER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