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DAAJ/35/2025 vom 11. Oktober 2024</w:t>
      </w:r>
    </w:p>
    <w:p>
      <w:r>
        <w:t>GE Cour de justice, 2024-10-11, FR</w:t>
      </w:r>
    </w:p>
    <w:p>
      <w:r>
        <w:rPr>
          <w:b/>
        </w:rPr>
        <w:t xml:space="preserve">Quelle: </w:t>
      </w:r>
      <w:r>
        <w:t>https://mcp.opencaselaw.ch/entscheid/ge_gerichte_DAAJ_35_2025</w:t>
      </w:r>
    </w:p>
    <w:p>
      <w:r>
        <w:t>FR: GE_GERICHTE DAAJ/35/2025 du 11 octobre 2024</w:t>
      </w:r>
    </w:p>
    <w:p>
      <w:r>
        <w:t>IT: GE_GERICHTE DAAJ/35/2025 del 11 ottobre 2024</w:t>
      </w:r>
    </w:p>
    <w:p>
      <w:pPr>
        <w:pStyle w:val="Heading2"/>
      </w:pPr>
      <w:r>
        <w:t>Erwägungen</w:t>
      </w:r>
    </w:p>
    <w:p>
      <w:r>
        <w:rPr>
          <w:b/>
        </w:rPr>
        <w:t>E. 1</w:t>
      </w:r>
    </w:p>
    <w:p>
      <w:r>
        <w:t>1.1.1. La décision entreprise AJC/5498/2024, dans la cause AC/1903/2024, est sujette à recours auprès de la présidence de la Cour de justice en tant qu'elle a refusé l'assistance juridique dans la cause pendante au Tribunal opposant le recourant à J______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w:t>
      </w:r>
    </w:p>
    <w:p>
      <w:r>
        <w:t>Le recourant n'a pas conclu à l'annulation de la décision de la vice-présidence du Tribunal civil du 11 octobre 2024, ni à l'octroi de l'assistance juridique, puisqu'il a repris ses conclusions au fond, ce qui pose la question de la recevabilité de ses conclusions devant la vice-présidente de la Cour.</w:t>
      </w:r>
    </w:p>
    <w:p>
      <w:r>
        <w:t>Lorsqu'une partie agit en personne et que son acte ne contient pas de conclusion claire concernant la décision incidente attaquée et le refus d'assistance judiciaire qu'elle</w:t>
      </w:r>
    </w:p>
    <w:p>
      <w:r>
        <w:t>- 7/15 -</w:t>
      </w:r>
    </w:p>
    <w:p>
      <w:r>
        <w:t>AC/1903/2024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 1.1.2. En l'espèce, le recourant a explicitement formé recours contre la décision de la vice- présidence du Tribunal civil du 11 octobre 2024 en raison du refus de sa requête d'assistance juridique dans la cause AC/10______/2024. Son recours, écrit et motivé, a été interjeté dans le délai utile. Il n'a certes pas conclu explicitement à l'annulation de cette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(F.a. ci-dessus).</w:t>
      </w:r>
    </w:p>
    <w:p>
      <w:r>
        <w:rPr>
          <w:b/>
        </w:rPr>
        <w:t>E. 2.1</w:t>
      </w:r>
    </w:p>
    <w:p>
      <w:r>
        <w:t>A teneur de l'art. 326 al. 1 CPC, les conclusions et les allégations de faits nouvelles sont irrecevables dans le cadre d'une procédure de recours.</w:t>
      </w:r>
    </w:p>
    <w:p>
      <w:r>
        <w:t>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w:t>
      </w:r>
    </w:p>
    <w:p>
      <w:r>
        <w:rPr>
          <w:b/>
        </w:rPr>
        <w:t>E. 3</w:t>
      </w:r>
    </w:p>
    <w:p>
      <w:r>
        <w:t>Le recourant reproche au Greffe de l'assistance juridique (ci-après : GAJ) d'avoir jugé la cause en violation de son droit à un procès équitable, selon l'art. 29 Cst et la CEDH.</w:t>
      </w:r>
    </w:p>
    <w:p>
      <w:r>
        <w:t>En l'espèce, il soutient à tort que le Greffe de l'assistance juridique [recte : la vice- présidence du Tribunal civil] se serait substituée au Tribunal. En effet, la vice-présidence du Tribunal civil a examiné sommairement, conformément aux principes applicables en</w:t>
      </w:r>
    </w:p>
    <w:p>
      <w:r>
        <w:t>- 8/15 -</w:t>
      </w:r>
    </w:p>
    <w:p>
      <w:r>
        <w:t>AC/1903/2024 la matière, les chances de succès de la demande en paiement du recourant à l'encontre de G______ par-devant le Tribunal. Or, il incombe précisément à cette autorité d'examiner si un justiciable ne conduit pas, aux frais de l'Etat, des procédures dénuées de chances de succès (DAAJ/12/2025 du 27 janvier 2025).</w:t>
      </w:r>
    </w:p>
    <w:p>
      <w:r>
        <w:t>Ce grief est, dès lors, infondé.</w:t>
      </w:r>
    </w:p>
    <w:p>
      <w:r>
        <w:rPr>
          <w:b/>
        </w:rPr>
        <w:t>E. 4</w:t>
      </w:r>
    </w:p>
    <w:p>
      <w:r>
        <w:t>novembre 2024 consid. 3.2).</w:t>
      </w:r>
    </w:p>
    <w:p>
      <w:r>
        <w:t>4.1.2. En l'espèce, le recourant a pu faire valoir, devant l'Autorité de première instance, les raisons pour lesquelles l'assistance juridique devrait prendre en charge les frais de procédure de son action en paiement à l'encontre de G______, puisque le dossier qu'il a soumis à ladite Autorité comprend, notamment, son action en paiement du 25 juin 2024, son argumentation et les pièces y relatives, dont les nombreux échanges de courriels avec les assureurs.</w:t>
      </w:r>
    </w:p>
    <w:p>
      <w:r>
        <w:t>Par conséquent, le grief relatif à la violation de son droit d'être entendu est infondé.</w:t>
      </w:r>
    </w:p>
    <w:p>
      <w:r>
        <w:t>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w:t>
      </w:r>
    </w:p>
    <w:p>
      <w:r>
        <w:t>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w:t>
      </w:r>
    </w:p>
    <w:p>
      <w:r>
        <w:t>Le grief relatif à la violation du principe de la bonne foi est infondé.</w:t>
      </w:r>
    </w:p>
    <w:p>
      <w:r>
        <w:t>- 9/15 -</w:t>
      </w:r>
    </w:p>
    <w:p>
      <w:r>
        <w:t>AC/1903/2024</w:t>
      </w:r>
    </w:p>
    <w:p>
      <w:r>
        <w:rPr>
          <w:b/>
        </w:rPr>
        <w:t>E. 5</w:t>
      </w:r>
    </w:p>
    <w:p>
      <w:r>
        <w:t>Le recourant explique avoir été déçu par G______ à la suite d'un litige dans la prise en charge de frais dans le cadre de la LAMal, raison pour laquelle il s'était tourné vers E______, son "unique assureur". De plus, l'omission relative à l'existence d'autre assureurs n'avait aucun sens, puisqu'il leur avait accordé l'autorisation de communiquer entre eux au sujet du sinistre. Par ailleurs, J______/M______ est une assurance de voyages, non concernée selon lui par l'assurance multiple.</w:t>
      </w:r>
    </w:p>
    <w:p>
      <w:r>
        <w:t>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"simple assuré" à celle de "fraudeur confirmé". A son sens, les assureurs ont agi de manière déloyale en réglant ce litige entre eux, au moyen de l'autorisation donnée d'échanger au sujet du sinistre.</w:t>
      </w:r>
    </w:p>
    <w:p>
      <w:r>
        <w:t>Il conteste l'application des jurisprudences citées par l'Autorité de première instance, qui s'écartent à son sens de sa situation juridique, car il assumerait les frais de justice, s'il disposait de moyens financiers.</w:t>
      </w:r>
    </w:p>
    <w:p>
      <w:r>
        <w:t>5.1.1.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w:t>
      </w:r>
    </w:p>
    <w:p>
      <w:r>
        <w:t>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w:t>
      </w:r>
    </w:p>
    <w:p>
      <w:r>
        <w:t>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w:t>
      </w:r>
    </w:p>
    <w:p>
      <w:r>
        <w:t>Par exemple, le fait d’indiquer, dans un premier temps, qu’un tableau se trouvant dans un véhicule volé valait 5'000 fr., avant d’admettre qu’il n’avait été acheté que pour 3'000 fr., constitue un mensonge qui peut entraîner l’application de l’art. 40 LCA. Néanmoins, si</w:t>
      </w:r>
    </w:p>
    <w:p>
      <w:r>
        <w:t>- 10/15 -</w:t>
      </w:r>
    </w:p>
    <w:p>
      <w:r>
        <w:t>AC/1903/2024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w:t>
      </w:r>
    </w:p>
    <w:p>
      <w:r>
        <w:t>La résolution du contrat, laquelle produit des effets ex tunc, ne rétroagit qu’au jour de la fraude et non pas à celui de la conclusion du contrat (GUYAZ, op. cit. n. 32 ad art. 40 LCA).</w:t>
      </w:r>
    </w:p>
    <w:p>
      <w:r>
        <w:t>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 l’assurance multiple dans l’intention de se procurer un profit illicite, les entreprises d’assurance ne sont pas liées envers lui par le contrat (al. 3).</w:t>
      </w:r>
    </w:p>
    <w:p>
      <w:r>
        <w:t>Selon l'art. 46c al. 1 LCA, s’il y a assurance multiple, chaque entreprise d’assurance répond du dommage dans la proportion qui existe entre la somme assurée par elle et le montant total des sommes assurées.</w:t>
      </w:r>
    </w:p>
    <w:p>
      <w:r>
        <w:t>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w:t>
      </w:r>
    </w:p>
    <w:p>
      <w:r>
        <w:t>Il y a assurance multiple lorsque la totalité des sommes d’assurance est supérieure au montant du dommage (POUPON/TISSOT-DAGUETTE, op. cit., n. 10 ad art. 46b LCA).</w:t>
      </w:r>
    </w:p>
    <w:p>
      <w:r>
        <w:t>Pour qu’il y ait assurance multiple, il est nécessaire que l’intérêt assuré, soit l’objet de l’assurance, soit identique auprès de chaque assureur (POUPON/TISSOT-DAGUETTE, op. cit., n. 14 ad art. 46b LCA).</w:t>
      </w:r>
    </w:p>
    <w:p>
      <w:r>
        <w:t>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w:t>
      </w:r>
    </w:p>
    <w:p>
      <w:r>
        <w:t>Par exemple, l’inventaire du ménage d’un preneur d’assurance est couvert par une assurance inventaire du ménage d’une somme d’assurance de 100 fr. contre le feu, l’eau,</w:t>
      </w:r>
    </w:p>
    <w:p>
      <w:r>
        <w:t>- 11/15 -</w:t>
      </w:r>
    </w:p>
    <w:p>
      <w:r>
        <w:t>AC/1903/2024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w:t>
      </w:r>
    </w:p>
    <w:p>
      <w:r>
        <w:t>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w:t>
      </w:r>
    </w:p>
    <w:p>
      <w:r>
        <w:t>Ce n’est que si l’ensemble des sommes d’assurance est supérieur à la valeur réelle de l’objet assuré qu’il sera question d’assurance multiple. Si cette condition n’est pas remplie, il n’y a pas d’assurance multiple, mais plutôt une assurance cumulative sans surassurance, dans laquelle l’omission d’avis à l’assureur ne peut entraîner aucune des conséquences juridiques prévues à l’art. 46b al. 3 LCA (POUPON/TISSOT-DAGUETTE, op. cit., n. 23 ad art. 46b LCA).</w:t>
      </w:r>
    </w:p>
    <w:p>
      <w:r>
        <w:t>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 DAGUETTE, op. cit., n. 26 et 27 ad art. 46b LCA).</w:t>
      </w:r>
    </w:p>
    <w:p>
      <w:r>
        <w:t>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w:t>
      </w:r>
    </w:p>
    <w:p>
      <w:r>
        <w:t>Il n’est pas indispensable que le preneur d’assurance ait cherché à se procurer un profit illicite. Il est suffisant que l’omission d’avis soit intentionnelle. Il suffit que le preneur d’assurance ait omis d’avertir les assureurs alors qu’il avait conscience de l’assurance multiple et connaissance de son devoir d’avis (POUPON/TISSOT-DAGUETTE, op. cit., n. 40 ad art. 46b LCA).</w:t>
      </w:r>
    </w:p>
    <w:p>
      <w:r>
        <w:t>L’omission d’avis est considérée comme non intentionnelle lorsque le preneur d’assurance n’a pas connaissance de l’assurance multiple, par exemple lorsqu’il n’a pas connaissance de l’existence d’un autre contrat d’assurance (…). Il convient également de</w:t>
      </w:r>
    </w:p>
    <w:p>
      <w:r>
        <w:t>- 12/15 -</w:t>
      </w:r>
    </w:p>
    <w:p>
      <w:r>
        <w:t>AC/1903/2024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w:t>
      </w:r>
    </w:p>
    <w:p>
      <w:r>
        <w:t>La bonne foi exige que l’assurance multiple soit intervenue à l’insu de l’assuré ou – s’il était au courant de l’assurance multiple – qu’il n’ait pas poursuivi une intention frauduleuse. Le facteur décisif est l’intention subjective (POUPON/TISSOT-DAGUETTE, op. cit., n. 51 ad art. 46b LCA).</w:t>
      </w:r>
    </w:p>
    <w:p>
      <w:r>
        <w:t>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w:t>
      </w:r>
    </w:p>
    <w:p>
      <w:r>
        <w:t>L'assistance judiciaire comprend l'exonération d'avances et de sûretés (art. 118 al. 1 let. a CPC), l'exonération des frais judiciaires (let. b) et la commission d'office d'un conseil juridique par le tribunal lorsque la défense des droits du requérant l'exige (let. c, 1ère phr.).</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w:t>
      </w:r>
    </w:p>
    <w:p>
      <w:r>
        <w:t>Le juge cantonal dispose d'un large pouvoir d'appréciation dans l'examen des chances de succès (cf. ATF 134 I 12 consid. 2.3; arrêt du Tribunal fédéral 5D_32/2024 du 25 octobre 2024 consid. 4.1.3).</w:t>
      </w:r>
    </w:p>
    <w:p>
      <w:r>
        <w:t>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w:t>
      </w:r>
    </w:p>
    <w:p>
      <w:r>
        <w:t>5.2.2. En l'occurrence, le recourant a élevé par-devant le Tribunal une prétention alternative à l'encontre de G______, en paiement de 25'000 fr., intérêts en sus, à la suite de la disparition de pierres précieuses.</w:t>
      </w:r>
    </w:p>
    <w:p>
      <w:r>
        <w:t>- 13/15 -</w:t>
      </w:r>
    </w:p>
    <w:p>
      <w:r>
        <w:t>AC/1903/2024</w:t>
      </w:r>
    </w:p>
    <w:p>
      <w:r>
        <w:t>Il n'a pas remis à l'Autorité de première instance les conditions générales de G______ et celles qu'il a produite à l'appui de son recours sont irrecevables. Ainsi, les seuls faits connus résultent des faits sus évoqués.</w:t>
      </w:r>
    </w:p>
    <w:p>
      <w:r>
        <w:t>Le recourant avait conclu une assurance ménage auprès de G______, laquelle couvrait, au titre d'assurances complémentaires, le vol simple à l'extérieur, à hauteur de 10'000 fr., avec une augmentation de la somme d'assurance pour les bijoux jusqu'à 40'000 fr.</w:t>
      </w:r>
    </w:p>
    <w:p>
      <w:r>
        <w:t>Pourtant, après lui avoir annoncé le sinistre du 20 mars 2023, G______ lui a répondu laconiquement le 18 septembre 2023 qu'elle refusait d'indemniser le sinistre, en application de l'art. 24.2 de ses CGA, lequel exclut "les dommages dus à la perte, à l'égarement et au détournement". Or, le recourant n'a, a priori, pas perdu son bagage, ne l'a pas égaré et G______ n'a pas justifié en quoi son bagage aurait été détourné et non pas volé.</w:t>
      </w:r>
    </w:p>
    <w:p>
      <w:r>
        <w:t>Cela étant, les alternatives sont les suivantes : - A supposer que G______ se soit néanmoins valablement prévalue de l'art. 24.2 de ses CGA et qu'elle ait été a priori fondée à refuser d'indemniser le recourant, alors elle ne pouvait vraisemblablement pas déclarer, en sus, le 3 novembre 2023, qu'elle n'était pas liée par la police d'assurance-ménage et responsabilité civile, puisqu'elle n'était pas dans une situation d'assurance multiple au sens de l'art. 46b LCA, dès lors que l'étendue de son obligation ne dépendait pas du concours d'autres assureurs. Dans cette hypothèse, la police d'assurance n'aurait pris fin que le 4 octobre 2023, à la suite du défaut de paiement des primes, selon les explications du recourant. Cela a pour conséquence que les chances de succès de celui-ci d'obtenir du Tribunal la poursuite des rapports contractuels avec G______ paraissent vouées à l'échec. - Si G______ s'est prévalue à tort de l'art. 24.2 de ses CGA, elle aurait dû en principe entrer en matière sur l'indemnisation du sinistre. Dans cette éventualité, elle paraît fondée à invoquer l'art. 40 LCA, relativement à la prétention frauduleuse, puisqu'en taisant les couvertures d'assurance conclues auprès de J______/M______ et de D______, le recourant aurait pu percevoir une double indemnisation pour son bagage, de la part de G______ et de J______/M______, ainsi que pour sa montre, de la part de G______ et de D______.</w:t>
      </w:r>
    </w:p>
    <w:p>
      <w:r>
        <w:t>Or, le recourant n'a pas donné d'explications plausibles pour justifier l'omission des autres assureurs, quand bien même G______ lui avait spécifiquement posé cette question et qu'il avait précédemment déclaré le sinistre à J______/M______. Pourtant, il savait pertinemment avoir conclu des assurances auprès de D______, de E______ et de J______, en sus de G______, a priori pour les mêmes risques. Il a, d'ailleurs, affirmé de manière inexacte s'être adressé à E______, "son unique assureur", après résiliation de sa police d'assurance par G______, à la suite du non-paiement des primes, puisqu'il avait déjà déclaré le sinistre à E______ le 20 mars 2023, avant la résiliation, effectuée le 9 septembre 2023. Il ne s'agit pas d'accuser le recourant sans preuve, mais d'examiner si l'application de l'art. 40 LCA est envisageable.</w:t>
      </w:r>
    </w:p>
    <w:p>
      <w:r>
        <w:t>- 14/15 -</w:t>
      </w:r>
    </w:p>
    <w:p>
      <w:r>
        <w:t>AC/1903/2024 G______ pourrait également refuser son obligation sur la base de l'art. 46b LCA en raison des assurances multiples. Elle avait spécifiquement posé la question au recourant relative à l'existence d'autres assureurs pouvant couvrir le sinistre, au n° 6.1 de son formulaire. Or, le recourant y avait répondu négativement, le 5 octobre 2023, taisant avoir déjà déclaré le sinistre à E______, les 20 mars et 3 octobre 2023, et à J______/M______, le 5 mai 2023. En outre, il savait pertinemment que sa montre était assurée auprès de D______. La réponse à la question n° 6.1 était primordiale pour G______, puisque le concours d'autres assureurs lui permettait de réduire l'étendue de son éventuelle obligation. Ainsi, au 3 novembre 2023, lorsqu'elle s'est déclarée non liée par la police d'assurance ménage et responsabilité civile, le recourant était possiblement assuré concurremment auprès de G______ et de J______/M______ pour son bagage et de G______ et de D______ pour sa montre, de sorte qu'il pouvait y avoir une situation d'assurance multiple justifiant la libération de G______, pour autant que les sommes assurées aient été supérieures au montant du dommage, ce qui est délicat d'apprécier, faute d'éléments factuels suffisants.</w:t>
      </w:r>
    </w:p>
    <w:p>
      <w:r>
        <w:t>Il résulte de ce qui précède que les chances de succès de la prétention du recourant en paiement contre G______ n'ont que de très faibles chances de succès, car l'argumentation du recourant se heurtera à l'art. 24.2 des CGA de cette assurance, respectivement à l'art. 40 LCA, de sorte que c'est avec raison que la vice-présidence du Tribunal civil a refusé l'assistance juridique, fût-elle limitée à l'avance de frais.</w:t>
      </w:r>
    </w:p>
    <w:p>
      <w:r>
        <w:t>Pour le surplus, il convient de préciser que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w:t>
      </w:r>
    </w:p>
    <w:p>
      <w:r>
        <w:rPr>
          <w:b/>
        </w:rPr>
        <w:t>E. 6</w:t>
      </w:r>
    </w:p>
    <w:p>
      <w:r>
        <w:t>Le recours, infondé, sera dès lors rejeté.</w:t>
      </w:r>
    </w:p>
    <w:p>
      <w:r>
        <w:rPr>
          <w:b/>
        </w:rPr>
        <w:t>E. 7</w:t>
      </w:r>
    </w:p>
    <w:p>
      <w:r>
        <w:t>Sauf exceptions non réalisées en l'espèce, il n'est pas perçu de frais judiciaires pour la procédure d'assistance juridique (art. 119 al. 6 CPC). Il n'y a pas lieu à l'octroi de dépens. * * * * *</w:t>
      </w:r>
    </w:p>
    <w:p>
      <w:r>
        <w:t>- 15/15 -</w:t>
      </w:r>
    </w:p>
    <w:p>
      <w:r>
        <w:t>AC/1903/2024</w:t>
      </w:r>
    </w:p>
    <w:p>
      <w:r>
        <w:t>PAR CES MOTIFS, LA VICE-PRÉSIDENTE DE LA COUR :</w:t>
      </w:r>
    </w:p>
    <w:p>
      <w:r>
        <w:t>A la forme : Déclare recevable le recours formé le 14 novembre 2024 par A______ contre la décision AJC/5458/2024 rendue le 11 octobre 2024 par la vice-présidence du Tribunal civil dans la cause AC/1903/2024.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