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DAAJ/35/2017 vom 11. Januar 2017</w:t>
      </w:r>
    </w:p>
    <w:p>
      <w:r>
        <w:t>GE Cour de justice, 2017-01-11, FR</w:t>
      </w:r>
    </w:p>
    <w:p>
      <w:r>
        <w:rPr>
          <w:b/>
        </w:rPr>
        <w:t xml:space="preserve">Quelle: </w:t>
      </w:r>
      <w:r>
        <w:t>https://mcp.opencaselaw.ch/entscheid/ge_gerichte_DAAJ_35_2017</w:t>
      </w:r>
    </w:p>
    <w:p>
      <w:r>
        <w:t>FR: GE_GERICHTE DAAJ/35/2017 du 11 janvier 2017</w:t>
      </w:r>
    </w:p>
    <w:p>
      <w:r>
        <w:t>IT: GE_GERICHTE DAAJ/35/2017 del 11 gennaio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 al. 3,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Le juge est lié par les conclusions des parties (art. 58 CPC; JEANDIN, in Code de procédure civile commenté, Bâle 2011, n. 1, 8 et 10 ad art. 58 CPC). Les conclusions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123 IV 125 consid. 1; 105 II 149 consid. 2a; arrêts du Tribunal fédéral 4A_8/2013 du 2 mai 2013 consid. 1.2, 4A_490/2011 du 10 janvier 2012 consid. 1.1 et 6B_364/2011 du 24 octobre 2011 consid. 1.1).</w:t>
      </w:r>
    </w:p>
    <w:p>
      <w:r>
        <w:rPr>
          <w:b/>
        </w:rPr>
        <w:t>E. 1.2</w:t>
      </w:r>
    </w:p>
    <w:p>
      <w:r>
        <w:t>En l'espèce, le recours a été interjeté dans le délai légal de dix jours. Par ailleurs, bien que la recourante ne conclue pas formellement à l'annulation de la décision querellée, ce serait faire preuve de formalisme excessif que de déclarer son recours irrecevable. En effet, agissant en personne, elle conclut implicitement à l'annulation de la décision querellée en indiquant ne pas avoir les moyens de payer le montant de 7'200 fr. et souhaiter "rétablir cette situation". Le recours a en outre été interjeté en la forme écrite prescrite par la loi.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w:t>
      </w:r>
    </w:p>
    <w:p>
      <w:r>
        <w:t>- 4/5 -</w:t>
      </w:r>
    </w:p>
    <w:p>
      <w:r>
        <w:t>AC/3527/2015 est de toute manière en mesure d'effectuer un paiement, le paiement de l'intégralité des prestations de l'Etat peut être exigé.</w:t>
      </w:r>
    </w:p>
    <w:p>
      <w:r>
        <w:rPr>
          <w:b/>
        </w:rPr>
        <w:t>E. 2.2</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rPr>
          <w:b/>
        </w:rPr>
        <w:t>E. 2.3</w:t>
      </w:r>
    </w:p>
    <w:p>
      <w:r>
        <w:t>En l'espèce, la recourante était représentée par son conseil dans le cadre de sa requête d'assistance juridique. Le greffe de l'assistance juridique n'a cependant pas envoyé à l'avocate de la recourante le courrier destiné à actualiser la situation financière de celle-ci. La notification de ce courrier n'a, dès lors, pas été accomplie. Pouvant de bonne foi s'attendre à ce que le courrier en question soit adressé à son conseil, la recourante ne l'a pas retiré dans le délai de garde et a fait l'objet de la décision querellée sans pouvoir actualiser sa situation financière. Elle a, de ce fait, subi un préjudice. Par conséquent, la décision querellée sera annulée et la cause sera renvoyée à l'autorité de première instance pour réexaminer la situation financière de la recourante et rendre une éventuelle nouvelle décision.</w:t>
      </w:r>
    </w:p>
    <w:p>
      <w:r>
        <w:rPr>
          <w:b/>
        </w:rPr>
        <w:t>E. 3</w:t>
      </w:r>
    </w:p>
    <w:p>
      <w:r>
        <w:t>Sauf exceptions non réalisées en l'espèce, il n'est pas perçu de frais judiciaires pour la procédure d'assistance juridique (art. 119 al. 6 CPC). * * * * *</w:t>
      </w:r>
    </w:p>
    <w:p>
      <w:r>
        <w:t>- 5/5 -</w:t>
      </w:r>
    </w:p>
    <w:p>
      <w:r>
        <w:t>AC/3527/2015 PAR CES MOTIFS, LE VICE-PRÉSIDENT DE LA COUR : A la forme : Déclare recevable le recours formé par A______ contre la décision rendue le 11 janvier 2017 par le Vice-président du Tribunal civil dans la cause AC/3527/2015. Au fond : Annule cette décision. Cela fait : Renvoie la cause à l'autorité de première instance pour examen de la situation financière de A______ et pour éventuelle nouvelle décision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