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DAAJ/34/2024 vom 27. November 2023</w:t>
      </w:r>
    </w:p>
    <w:p>
      <w:r>
        <w:t>GE Cour de justice, 2023-11-27, FR</w:t>
      </w:r>
    </w:p>
    <w:p>
      <w:r>
        <w:rPr>
          <w:b/>
        </w:rPr>
        <w:t xml:space="preserve">Quelle: </w:t>
      </w:r>
      <w:r>
        <w:t>https://mcp.opencaselaw.ch/entscheid/ge_gerichte_DAAJ_34_2024</w:t>
      </w:r>
    </w:p>
    <w:p>
      <w:r>
        <w:t>FR: GE_GERICHTE DAAJ/34/2024 du 27 novembre 2023</w:t>
      </w:r>
    </w:p>
    <w:p>
      <w:r>
        <w:t>IT: GE_GERICHTE DAAJ/34/2024 del 27 novembre 2023</w:t>
      </w:r>
    </w:p>
    <w:p>
      <w:pPr>
        <w:pStyle w:val="Heading2"/>
      </w:pPr>
      <w:r>
        <w:t>Erwägungen</w:t>
      </w:r>
    </w:p>
    <w:p>
      <w:r>
        <w:rPr>
          <w:b/>
        </w:rPr>
        <w:t>E. 1.1</w:t>
      </w:r>
    </w:p>
    <w:p>
      <w:r>
        <w:t>En tant qu'elle refuse l'assistance juridique, la décision entreprise est sujette à recours auprès de la présidence de la Cour de justice (art. 10 al. 3 de la Loi sur la procédure administrative du 12 septembre 1985 [LPA - E 5 10]), compétence expressément déléguée à la vice-présidente soussignée sur la base des art. 29 al. 5 de la</w:t>
      </w:r>
    </w:p>
    <w:p>
      <w:r>
        <w:t>- 6/11 -</w:t>
      </w:r>
    </w:p>
    <w:p>
      <w:r>
        <w:t>AC/3199/2023 Loi sur l’organisation judiciaire du 26 septembre 2010 (LOJ - E 2 05) et 10 al. 1 du règlement de la Cour de justice (RSG - E 2 05.47). Le recours, écrit et motivé, est introduit auprès de l'instance de recours dans un délai de 30 jours (art. 10 al. 3 LPA, 130, 131 et 321 al. 1 du Code de procédure civile du 19 décembre 2008 [CPC - RS 272], applicables par renvoi des art. 10 al. 4 LPA et 8 al. 3 du Règlement sur l'assistance juridique du 28 juillet 2010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Le recourant conclut préalablement à la suspension de la procédure dans l'attente de l'issue de la procédure 2C_640/2023 pendante devant le Tribunal fédéral. Il apparaît toutefois que le Tribunal fédéral a rendu son jugement le 17 janvier 2024, de sorte que cette conclusion est devenue sans objet.</w:t>
      </w:r>
    </w:p>
    <w:p>
      <w:r>
        <w:rPr>
          <w:b/>
        </w:rPr>
        <w:t>E. 3.1</w:t>
      </w:r>
    </w:p>
    <w:p>
      <w:r>
        <w:t>Reprenant l'art. 29 al. 3 de la Constitution fédérale de la Confédération suisse du 18 avril 1999 (Cst. - RS 101),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Un procès n'est en revanche pas dénué de chances de succès lorsque les perspectives de gain et les risques d'échec s'équilibrent à peu près ou lorsque les premières n'apparaissent que légèrement inférieures aux seconds. Est déterminante la question de savoir si une partie disposant des ressources financières nécessaires se lancerait ou non dans le procès après une analyse raisonnable. Il s'agit d'éviter qu'une partie mène un procès qu'elle ne conduirait</w:t>
      </w:r>
    </w:p>
    <w:p>
      <w:r>
        <w:t>- 7/11 -</w:t>
      </w:r>
    </w:p>
    <w:p>
      <w:r>
        <w:t>AC/3199/2023 pas à ses propres frais, uniquement parce qu'il ne lui coûte rien (ATF 142 III 138 consid. 5.1; 139 III 475 consid. 2.2;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(arrêts du Tribunal fédéral 4A_86/2023 du 20 février 2024 consid. 4 et 5A_583/2020 du 9 septembre 2020 consid. 3.1 et la référence). S'agissant plus particulièrement de l'examen des chances de succès d'un recours ou d'un appel,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 du Tribunal fédéral 5A_803/2022 du 18 octobre 2023 consid. 5.1).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4A_86/2023 du 20 février 2024 consid. 4). Le critère des chances de succès doit être examiné au moment du dépôt de la requête d'assistance judiciaire et sur la base d'un examen sommaire (ATF 142 III 138 consid. 5.1; 139 III 475 consid. 2.2; 138 III 217 consid. 2.2.4).</w:t>
      </w:r>
    </w:p>
    <w:p>
      <w:r>
        <w:rPr>
          <w:b/>
        </w:rPr>
        <w:t>E. 3.2</w:t>
      </w:r>
    </w:p>
    <w:p>
      <w:r>
        <w:t>Le recourant se plaint tout d’abord du fait que l’autorité précédente se serait substituée au juge du fond. La Vice-présidence de Tribunal civil a examiné sommairement, conformément aux principes applicables en la matière, les chances de succès du recours au TAPI contre la décision de l'OCPM, en comparant celle-ci avec les griefs invoqués par le recourant. Il incombe précisément à cette autorité d'examiner si un justiciable ne conduit pas, aux frais de l'État, des procédures dénuées de chances de succès. Dans cette mesure, la Vice- présidence ne s'est pas substituée au juge du fond et n'a pas violé le droit en procédant de la sorte. Ce grief doit ainsi être écarté.</w:t>
      </w:r>
    </w:p>
    <w:p>
      <w:r>
        <w:rPr>
          <w:b/>
        </w:rPr>
        <w:t>E. 3.3</w:t>
      </w:r>
    </w:p>
    <w:p>
      <w:r>
        <w:t>Le recourant soutient ensuite que les conditions d'octroi d'une autorisation de séjour sur la base de l'art. 8 CEDH seraient réalisées en raison des liens affectifs qu'il entretient</w:t>
      </w:r>
    </w:p>
    <w:p>
      <w:r>
        <w:t>- 8/11 -</w:t>
      </w:r>
    </w:p>
    <w:p>
      <w:r>
        <w:t>AC/3199/2023 avec sa fille de nationalité suisse. Il ne critique en revanche pas l’analyse du premier juge relative au cas d’extrême gravité s’agissant des conditions pour prolonger son autorisation de séjour, de sorte qu'il n'y a pas lieu d'y revenir.</w:t>
      </w:r>
    </w:p>
    <w:p>
      <w:r>
        <w:rPr>
          <w:b/>
        </w:rPr>
        <w:t>E. 3.3.1</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ATA/424/2017 du 11 avril 2017 consid. 11). Les relations visées par l'art. 8 § 1 CEDH sont avant tout celles qui existent entre époux ainsi que les relations entre parents et enfants mineurs vivant en ménage commun (ATF 127 II 60 consid. 1d/aa; 120 Ib 257 consid. 1d; ATA/519/2017 du 9 mai 2017 consid. 10c).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139 I 315 consid. 2.5; arrêt du Tribunal fédéral 2C_165/2014 du 18 juillet 2014 consid. 4.2). En outre, les autres conditions d'une prolongation de l'autorisation doivent également être remplies. Le parent étranger doit ainsi entretenir une relation économique particulièrement forte avec son enfant et avoir fait preuve en Suisse d'un comportement irréprochable (ATF 139 I 315 consid. 2.5; arrêts du Tribunal fédéral 2C_1153/2013 du 10 juillet 2014 consid. 2.2; 2C_117/2014 du 27 juin 2014 consid. 4.1.2; 2C_318/2013 du 5 septembre 2013 consid. 3.3.2). À la différence de ce qui se passe en cas de vie commune, il n’est pas indispensable que le parent qui bénéficie d’un droit de visite vive dans le même pays que son enfant, même si cela compliquerait assurément l’exercice du droit de visite, mais ce dernier pouvant être, en tout état, aménagé de manière à tenir compte de la distance géographique et de la compatibilité avec des séjours touristiques (ATA/1175/2021 du 2 novembre 2021 consid. 6c; ATA/426/2016 du 24 mai 2016 consid. 9e).</w:t>
      </w:r>
    </w:p>
    <w:p>
      <w:r>
        <w:t>- 9/11 -</w:t>
      </w:r>
    </w:p>
    <w:p>
      <w:r>
        <w:t>AC/3199/2023 Ce qui est déterminant, sous l'angle de l'art. 8 § 1 CEDH, ce sont la réalité et le caractère effectif des liens qu'un étranger a tissé avec le membre de sa famille qui bénéficie d'un droit de résider en Suisse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arrêt du Tribunal fédéral 2C_652/2013 du 17 décembre 2013 consid. 4.2; ATA/400/2016 du 10 mai 2016).</w:t>
      </w:r>
    </w:p>
    <w:p>
      <w:r>
        <w:rPr>
          <w:b/>
        </w:rPr>
        <w:t>E. 3.3.2</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3.3.3</w:t>
      </w:r>
    </w:p>
    <w:p>
      <w:r>
        <w:t>En l'occurrence, la seule présence en Suisse de la fille du recourant, avec laquelle il ne fait pas ménage commun, ne lui permet a priori pas de déduire de l'art. 8 CEDH un droit à obtenir le renouvellement de son autorisation de séjour sous l'angle du droit au respect de sa vie familiale. En effet, si le recourant affirme avoir une relation effective avec sa fille, les éléments au dossier ne permettent pas prima facie de retenir que ces liens puissent être qualifiés de particulièrement étroits selon la jurisprudence précitée. En effet, le droit de visite n’est pas exercé selon les modalités usuelles, étant limité à la prestation "accueil" du Point Rencontre à raison d’une heure trente à quinzaine. Il sera également précisé que le recourant ne paraît pas, de prime abord, davantage contribuer à l'entretien de sa fille sur le plan financier, ce qu’il ne conteste d’ailleurs pas. Dans ces circonstances, les conditions pour admettre l'existence de liens affectifs ou économiques particulièrement forts requis par la jurisprudence ne paraissent pas réunies. Au vu de ce qui précède, l'autorité précédente était fondée à retenir que le recourant ne pouvait a priori pas se prévaloir de l'art. 8 CEDH pour l’octroi d’une autorisation de séjour en raison de la présence de sa fille en Suisse et que les chances de succès du recours interjeté par-devant le TAPI paraissaient très faibles. C'est ainsi de manière</w:t>
      </w:r>
    </w:p>
    <w:p>
      <w:r>
        <w:t>- 10/11 -</w:t>
      </w:r>
    </w:p>
    <w:p>
      <w:r>
        <w:t>AC/3199/2023 conforme au droit qu'elle a refusé de lui octroyer le bénéfice de l'assistance judiciaire en vue d'interjeter ledit recours. Le recours, mal fondé, sera dès lors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- 11/11 -</w:t>
      </w:r>
    </w:p>
    <w:p>
      <w:r>
        <w:t>AC/3199/2023 PAR CES MOTIFS, LA VICE-PRÉSIDENTE DE LA COUR : A la forme : Déclare recevable le recours formé par A______ contre la décision rendue le 27 novembre 2023 par la vice-présidence du Tribunal civil dans la cause AC/3199/2023.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