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DAAJ/34/2019 vom 18. Oktober 2018</w:t>
      </w:r>
    </w:p>
    <w:p>
      <w:r>
        <w:t>GE Cour de justice, 2018-10-18, FR</w:t>
      </w:r>
    </w:p>
    <w:p>
      <w:r>
        <w:rPr>
          <w:b/>
        </w:rPr>
        <w:t xml:space="preserve">Quelle: </w:t>
      </w:r>
      <w:r>
        <w:t>https://mcp.opencaselaw.ch/entscheid/ge_gerichte_DAAJ_34_2019</w:t>
      </w:r>
    </w:p>
    <w:p>
      <w:r>
        <w:t>FR: GE_GERICHTE DAAJ/34/2019 du 18 octobre 2018</w:t>
      </w:r>
    </w:p>
    <w:p>
      <w:r>
        <w:t>IT: GE_GERICHTE DAAJ/34/2019 del 18 ottobre 2018</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w:t>
      </w:r>
    </w:p>
    <w:p>
      <w:r>
        <w:t>- 3/6 -</w:t>
      </w:r>
    </w:p>
    <w:p>
      <w:r>
        <w:t>AC/2700/2018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prescrits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 Selon l'art. 119 al. 2 CPC, le requérant justifie de sa situation de fortune et de ses revenus et expose l'affaire et les moyens de preuve qu'il entend invoquer. Applicable à la procédure portant sur l'octroi ou le refus de l'assistance judiciaire, la maxime inquisitoire est limitée par le devoir de collaborer des parties découlant en particulier de l'art. 119 al. 2 CC.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appartient en outre à cette dernière de motiver sa requête s'agissant des conditions d'octroi de l'art. 117 CPC et d'apporter, à cet effet, tous les moyens de preuve nécessaires et utiles (arrêts du Tribunal fédéral 5A_502/2017 du 15 août 2017 consid. 3.2 et 5A_380/2015 du 1er juillet 2015 consid. 3 publié in SJ 2016 I 128). Selon l'art. 56 CP, le tribunal interpelle les parties lorsque leurs actes ou déclarations sont peu clairs, contradictoires, imprécis ou manifestement incomplets et leur donne l'occasion de les clarifier et de les compléter.</w:t>
      </w:r>
    </w:p>
    <w:p>
      <w:r>
        <w:t>- 4/6 -</w:t>
      </w:r>
    </w:p>
    <w:p>
      <w:r>
        <w:t>AC/2700/2018 Le devoir du tribunal résultant de cette disposition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5A_502/2017 du 15 août 2017 consid. 3.2 et 5A_380/2015 consid. 3).</w:t>
      </w:r>
    </w:p>
    <w:p>
      <w:r>
        <w:rPr>
          <w:b/>
        </w:rPr>
        <w:t>E. 3.1.2</w:t>
      </w:r>
    </w:p>
    <w:p>
      <w:r>
        <w:t>Les actions fondées sur des obligations contractuelles se prescrivent, sauf disposition spéciale, par dix ans (art. 127 CO), dès que la créance est devenue exigible (art. 130 al. 1 CO). La prescription décennale de l'art. 127 CO commence en principe à courir au plus tard depuis la fin du contrat (ATF 106 II 134 consid. 2d; arrêt du Tribunal fédéral 4A_558/2018 du 29 mai 2018 consid. 5.3.1). La prescription est interrompue lorsque le débiteur reconnaît la dette, notamment en payant des intérêts ou des acomptes, en constituant un gage ou en fournissant une caution (art. 135 ch. 1 CO), ou lorsque le créancier fait valoir ses droits par des poursuites, par une requête de conciliation, par une action ou une exception devant un tribunal ou un tribunal arbitral ou par une intervention dans une faillite (art. 135 ch. 2 CO).</w:t>
      </w:r>
    </w:p>
    <w:p>
      <w:r>
        <w:rPr>
          <w:b/>
        </w:rPr>
        <w:t>E. 3.1.3</w:t>
      </w:r>
    </w:p>
    <w:p>
      <w:r>
        <w:t>Le juge ne peut suppléer d'office le moyen résultant de la prescription (art. 142 CO). En revanche, si le débiteur invoque un tel moyen selon les formes et dans le délai prescrits, le principe iura novit curia s'applique : le juge doit alors examiner d'office toute question relative au fondement juridique de l'exception de prescription (ATF 112 II 231 consid. 3), en respectant cependant le droit d'être entendu des parties (arrêts du Tribunal fédéral 4A_210/2010, 4A_214/2010, 4A_216/2010 du 1er octobre 2010 consid. 7.1.1 non publié in ATF 136 III 502).</w:t>
      </w:r>
    </w:p>
    <w:p>
      <w:r>
        <w:rPr>
          <w:b/>
        </w:rPr>
        <w:t>E. 3.2</w:t>
      </w:r>
    </w:p>
    <w:p>
      <w:r>
        <w:t>En l'espèce, le recourant a déposé sa requête d’assistance juridique sans l’aide d’un avocat, étant précisé que rien dans le dossier n’indique qu’il dispose de connaissances juridiques. Il ne pouvait donc pas envisager que le premier juge examinerait d’office une éventuelle exception de prescription pour rejeter sa requête alors que ce moyen n’est pas examiné d’office par le juge du fond mais doit être soulevé par la partie adverse. De ce fait et aux fins d'instruire la requête, il appartenait au premier juge</w:t>
      </w:r>
    </w:p>
    <w:p>
      <w:r>
        <w:t>- 5/6 -</w:t>
      </w:r>
    </w:p>
    <w:p>
      <w:r>
        <w:t>AC/2700/2018 d'inviter le recourant à lui indiquer s’il avait ou non effectué des actes interruptifs de prescription avant de statuer. L'autorité de première instance ne pouvait dès lors pas retenir, sans violer la loi, que la cause du recourant était dénuée de chance de succès en raison de sa prescription. Par conséquent, la décision querellée sera annulée et la cause sera renvoyée au Vice-président du Tribunal civil pour nouvelle décision.</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- 6/6 -</w:t>
      </w:r>
    </w:p>
    <w:p>
      <w:r>
        <w:t>AC/2700/2018 PAR CES MOTIFS, LE VICE-PRESIDENT DE LA COUR : A la forme : Déclare recevable le recours formé le 15 novembre 2018 par A______ contre la décision rendue le 18 octobre 2018 par le Vice-président du Tribunal civil dans la cause AC/2700/2018. Au fond : Annule la décision entreprise. Cela fait : Renvoie la cause au Vice-président du Tribunal civil pour instruction complémentaire et nouvelle décision. Dit qu'il n'est pas perçu de frais judiciaires pour le recours, ni alloué de dépens. Déboute A______ de toutes autres conclusions. Notifie une copie de la présente décision à A______ en l'Etude de Me Stéphane PILETTA- ZANIN (art. 137 CPC). Siégeant : Monsieur Patrick CHENAUX, Vice-président; Madame Maïté VALENTE, greffière. 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