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DAAJ/34/2013 vom 26. Februar 2013</w:t>
      </w:r>
    </w:p>
    <w:p>
      <w:r>
        <w:t>GE Cour de justice, 2013-02-26, FR</w:t>
      </w:r>
    </w:p>
    <w:p>
      <w:r>
        <w:rPr>
          <w:b/>
        </w:rPr>
        <w:t xml:space="preserve">Quelle: </w:t>
      </w:r>
      <w:r>
        <w:t>https://mcp.opencaselaw.ch/entscheid/ge_gerichte_DAAJ_34_2013</w:t>
      </w:r>
    </w:p>
    <w:p>
      <w:r>
        <w:t>FR: GE_GERICHTE DAAJ/34/2013 du 26 février 2013</w:t>
      </w:r>
    </w:p>
    <w:p>
      <w:r>
        <w:t>IT: GE_GERICHTE DAAJ/34/2013 del 26 febbraio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t>- 4/7 -</w:t>
      </w:r>
    </w:p>
    <w:p>
      <w:r>
        <w:t>AC/347/2010</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1.4</w:t>
      </w:r>
    </w:p>
    <w:p>
      <w:r>
        <w:t>À teneur l'art. 326 al. 1 CPC, les allégations de faits et les preuves nouvelles sont irrecevables dans le cadre d'une procédure de recours. Par conséquent, la pièce nouvelle ne sera pas prise en considération. Par ailleurs, il ne sera pas donné suite à la requête d'audition de la recourante, une telle audition n'étant pas susceptible d'apporter des éléments pertinents pour l'issue du litige, vu le pouvoir de cognition limité de la Cour.</w:t>
      </w:r>
    </w:p>
    <w:p>
      <w:r>
        <w:rPr>
          <w:b/>
        </w:rPr>
        <w:t>E. 2</w:t>
      </w:r>
    </w:p>
    <w:p>
      <w:r>
        <w:t>La recourante reproche principalement à l'autorité de première instance d'avoir jugé que son appel était dépourvu de chances de succès.</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t>- 5/7 -</w:t>
      </w:r>
    </w:p>
    <w:p>
      <w:r>
        <w:t>AC/347/2010</w:t>
      </w:r>
    </w:p>
    <w:p>
      <w:r>
        <w:rPr>
          <w:b/>
        </w:rPr>
        <w:t>E. 2.2</w:t>
      </w:r>
    </w:p>
    <w:p>
      <w:r>
        <w:t>À teneur des art. 51 let. b et 63 al. 1 LDIP, le juge compétent pour connaître du divorce l'est aussi pour connaître de la liquidation du régime matrimonial. La LDIP ne limite pas la compétence du juge du divorce, chargé de la liquidation du régime matrimonial, aux seuls biens sis en Suisse ; au contraire, le principe de l'universalité de la liquidation veut que l'ensemble des biens des époux, meubles ou immeubles, soient inclus dans la liquidation où qu'ils se trouvent dans le monde (DUTOIT, Droit international privé suisse, 2005, n. 5 ad art. 51 LDIP; COURVOISIER, Commentaire bâlois, 2007, n. 15 ad art. 51 LDIP). Le législateur a renoncé à étendre aux régimes matrimoniaux la réserve de compétence, instaurée en matière successorale par l'art. 86 al. 2 LDIP, qui abandonne à l'Etat du lieu de situation des immeubles la juridiction en cette matière s'il revendique une compétence exclusive (arrêt du Tribunal fédéral 5A_248/2010 du 11 juillet 2010, consid. 4.1; Message du Conseil fédéral, FF 1983 I 339 n. 234.2). Il s'agissait d'éviter de limiter la compétence du juge du divorce pour régler la situation financière des époux (Message, op.cit., p. 339; HEINI ZK 2004, IPRG ad art. 51-58, n. 12). Il s'ensuit que le juge suisse chargé de liquider le régime matrimonial à la suite d'un divorce est compétent pour statuer même sur des immeubles sis à l'étranger et faisant l'objet d'une compétence exclusive de l'Etat du lieu de situation (DUTOIT, op. cit., p. 5 ad art. 51 p. 176, 177; BUCHER, Droit international privé suisse, 1992, n. 447 p. 162; BERTHOLET, Les régimes matrimoniaux en droit international privé suisse, in Les régimes matrimoniaux en droit comparé et en droit international privé, 2006 p. 38).</w:t>
      </w:r>
    </w:p>
    <w:p>
      <w:r>
        <w:rPr>
          <w:b/>
        </w:rPr>
        <w:t>E. 2.3</w:t>
      </w:r>
    </w:p>
    <w:p>
      <w:r>
        <w:t>En l'espèce, dans le cadre de la procédure de divorce, la recourante avait notamment conclu à ce que son époux soit condamné à lui verser la somme de 97'500 fr. au titre de la liquidation du bien immobilier sis en Roumanie, bien dont son conjoint est propriétaire mais qu'il a acquis durant le mariage. Au vu des conclusions de la recourante en première instance et des principes juridiques exposés ci-dessus, il apparaît que, prima facie, le grief de la recourante tiré du refus injustifié du TPI de reconnaître sa compétence pour liquider le régime matrimonial en ce qui concerne l'immeuble sis en Roumanie n'est pas manifestement infondé ; partant, sur ce point, son appel ne paraît pas dépourvu de chances de succès. En outre, bien que l'estimation de valeur de l'immeuble avancée par la recourante ne soit fondée sur aucune pièce justificative, il n'apparaît pas que l'expertise sollicitée soit manifestement déraisonnable, dès lors que la valeur du bien immobilier en question constitue un fait pertinent pour la liquidation du régime matrimonial. Au vu du montant qu'elle allègue concernant la valeur de l'immeuble concerné, il ne saurait être retenu que les frais d'expertise constituent des dépenses que la recourante n'engagerait pas si elle devait les financer de ses propres deniers.</w:t>
      </w:r>
    </w:p>
    <w:p>
      <w:r>
        <w:t>- 6/7 -</w:t>
      </w:r>
    </w:p>
    <w:p>
      <w:r>
        <w:t>AC/347/2010 Certes, au moment du dépôt de la requête d'extension de l'assistance juridique, la recourante n'avait pas encore rédigé son acte d'appel, de sorte que lorsqu'il a examiné ladite requête d'extension, le premier juge s'est uniquement fondé sur les griefs brièvement exposés par la recourante. Il n'en demeure pas moins que le fait que la recourante remette en question le refus d'expertise signifiait implicitement qu'elle entendait également se prévaloir de la compétence des tribunaux genevois pour statuer sur la liquidation du régime matrimonial. Ce qui précède rend inutile l'examen des chances de succès des conclusions de la recourante en relation avec l'art. 125 CC. En conséquence, le recours est admis et il sera fait droit à la requête d'extension d'assistance juridique sollicitée pour la procédure d'appel contre le jugement de divorce du 14 décembre 2012, l'activité d'avocat étant toutefois limitée à 12 heures. L'obligation de remboursement anticipé de 50 fr. par mois sera pour le surplus maintenue.</w:t>
      </w:r>
    </w:p>
    <w:p>
      <w:r>
        <w:rPr>
          <w:b/>
        </w:rPr>
        <w:t>E. 3</w:t>
      </w:r>
    </w:p>
    <w:p>
      <w:r>
        <w:t>Sauf exceptions non réalisées en l'espèce, il n'est pas perçu de frais judiciaires pour la procédure d'assistance juridique (art. 119 al. 6 CPC). Par ailleurs, selon la pratique constante de la Présidence de la Cour,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- 7/7 -</w:t>
      </w:r>
    </w:p>
    <w:p>
      <w:r>
        <w:t>AC/347/2010 PAR CES MOTIFS, LA VICE-PRÉSIDENTE DE LA COUR : À la forme : Déclare recevable le recours formé par A______ contre la décision rendue le 26 février 2013 par la Vice-présidente du Tribunal civil dans la cause AC/347/2010. Au fond : Admet le recours et annule ladite décision. Cela fait et statuant à nouveau : Met A______ au bénéfice de l'assistance juridique pour la procédure d'appel dans la cause C/______, l'activité d'avocat étant toutefois limitée à 12 heures. Maintient l'obligation d' A______ de procéder au remboursement anticipé à raison de 50 fr. par mois. Déboute A______ de toutes autres conclusions. Dit qu'il n'est pas perçu de frais judiciaires, ni alloué de dépens. Notifie une copie de la présente décision à A______ en l'Étude de Me Virginie JORDAN (art. 137 CPC).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