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DAAJ/32/2015 vom 11. März 2015</w:t>
      </w:r>
    </w:p>
    <w:p>
      <w:r>
        <w:t>GE Cour de justice, 2015-03-11, FR</w:t>
      </w:r>
    </w:p>
    <w:p>
      <w:r>
        <w:rPr>
          <w:b/>
        </w:rPr>
        <w:t xml:space="preserve">Quelle: </w:t>
      </w:r>
      <w:r>
        <w:t>https://mcp.opencaselaw.ch/entscheid/ge_gerichte_DAAJ_32_2015</w:t>
      </w:r>
    </w:p>
    <w:p>
      <w:r>
        <w:t>FR: GE_GERICHTE DAAJ/32/2015 du 11 mars 2015</w:t>
      </w:r>
    </w:p>
    <w:p>
      <w:r>
        <w:t>IT: GE_GERICHTE DAAJ/32/2015 del 11 marzo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La recourante conclu préalablement à être entendue par la Cour.</w:t>
      </w:r>
    </w:p>
    <w:p>
      <w:r>
        <w:rPr>
          <w:b/>
        </w:rPr>
        <w:t>E. 3.1</w:t>
      </w:r>
    </w:p>
    <w:p>
      <w:r>
        <w:t>Le droit d'être entendu, tel qu'il est garanti par l'art. 29 al. 2 Cst., comprend pour le justiciable le droit de s'exprimer sur les éléments pertinents avant qu'une décision ne soit prise touchant sa situation juridique (ATF 133 I 270 consid. 3.1; 126 I 15 consid. 2a/aa; 124 I 49 consid. 3a). Il ne garantit en revanche pas le droit de s'exprimer oralement devant l'autorité appelée à statuer (ATF 125 I 209 consid. 9b, 122 II 464 consid. 4c).</w:t>
      </w:r>
    </w:p>
    <w:p>
      <w:r>
        <w:rPr>
          <w:b/>
        </w:rPr>
        <w:t>E. 3.2</w:t>
      </w:r>
    </w:p>
    <w:p>
      <w:r>
        <w:t>En l'espèce, dès lors que la recourante a pu pleinement s'exprimer dans son acte de recours, que le droit d'être entendu n'inclut pas le droit de pouvoir d'être entendu oralement et que la recourante n'indique pas en quoi son audition serait nécessaire, il ne sera pas donné suite à sa conclusion préalable visant à être entendu par la Cour.</w:t>
      </w:r>
    </w:p>
    <w:p>
      <w:r>
        <w:rPr>
          <w:b/>
        </w:rPr>
        <w:t>E. 4</w:t>
      </w:r>
    </w:p>
    <w:p>
      <w:r>
        <w:t>La recourante reproche au Vice-président du Tribunal civil d'avoir retenu que son action en modification de la transaction judiciaire du 6 octobre 2011 était dépourvue de chance de succès en retenant à tort que les partie auraient fixé le montant des contributions</w:t>
      </w:r>
    </w:p>
    <w:p>
      <w:r>
        <w:t>- 4/6 -</w:t>
      </w:r>
    </w:p>
    <w:p>
      <w:r>
        <w:t>AC/201/2015 d'entretien sur la base d'un revenu hypothétique du débirentier, qu'il avait été tenu compte de la situation fortunée du père et qu'elle n'avait pas démontré que les revenus actuels du père seraient si élevés qu'il lui permettaient d'augmenter les contributions d'entretien fixées judiciairement. 4.1.1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 4.1.2 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w:t>
      </w:r>
    </w:p>
    <w:p>
      <w:r>
        <w:t>- 5/6 -</w:t>
      </w:r>
    </w:p>
    <w:p>
      <w:r>
        <w:t>AC/201/2015 financières et les besoins respectifs des parties ont évolué depuis la première décision (ATF 120 II 285 consid. 4b ; 120 II 177 consid. 3a ; arrêt du Tribunal fédéral 5C.112/2002 du 27 novembre 2002 consid. 6.1 ; 5C.78/2001 du 24 août 2001 consid. 2a et 2b/bb).</w:t>
      </w:r>
    </w:p>
    <w:p>
      <w:r>
        <w:rPr>
          <w:b/>
        </w:rPr>
        <w:t>E. 4.2</w:t>
      </w:r>
    </w:p>
    <w:p>
      <w:r>
        <w:t>En l'espèce, la recourante a rendu vraisemblable qu'un changement notable et durable est survenu depuis le prononcé de la transaction judiciaire dès lors que le débiteur de la contribution d'entretien due à son fils exerce une nouvelle activité lucrative et qu'il s'est marié. La transaction judiciaire du 6 octobre 2011 ne faisant pas été de la situation financière des parties, le Vice-président du Tribunal civil ne pouvait pas retenir que les montants des contributions d'entretien avaient été fixée sur la base d'un revenu hypothétique du père. En effet, celui-ci dispose, selon les allégations de la recourante, d'autres ressources que ses revenus propres – à savoir des aides financières de ses parents – qui ont pu justifier les montants des contributions d'entretien retenus dans l'accord des parties. Par ailleurs, même si les charges du père ne sont pas de facto réduites de par son mariage, une diminution de ces charges est a priori vraisemblable, tant qu'il n'est pas établi que sa nouvelle épouse serait sans revenus. Enfin, même si les montants des contributions actuelles couvrent les frais courant des enfants, il n'est pas totalement exclu que ceux-ci soient augmentés s'il devait être établi que le débiteur réalise des revenus importants. Certes, la recourante ne produit pour l'heure pas de document établissant la nouvelle situation financière du père des enfants. Ce n'est toutefois que dans le cadre d'une procédure en modification de la contribution alimentaire qu'elle sera autorisée à solliciter la production des pièces probantes que seul le débiteur détient à ce jour. Au vu de ce qui précède, sur la base d'un examen sommaire, il n'apparait pas a priori que l'action en modification que désire intenter la recourante soit dénuée de chance de succès. Par conséquent, la décision entreprise sera annulée et la cause renvoyée au premier juge pour nouvelle décision après examen de la condition d'indigence.</w:t>
      </w:r>
    </w:p>
    <w:p>
      <w:r>
        <w:rPr>
          <w:b/>
        </w:rPr>
        <w:t>E. 5</w:t>
      </w:r>
    </w:p>
    <w:p>
      <w:r>
        <w:t>Sauf exceptions non réalisées en l'espèce, il n'est pas perçu de frais judiciaires pour la procédure d'assistance juridique (art. 119 al. 6 CPC). * * * * *</w:t>
      </w:r>
    </w:p>
    <w:p>
      <w:r>
        <w:t>- 6/6 -</w:t>
      </w:r>
    </w:p>
    <w:p>
      <w:r>
        <w:t>AC/201/2015 PAR CES MOTIFS, LE VICE-PRÉSIDENT DE LA COUR : A la forme : Déclare recevable le recours formé le 23 mars 2015 par A______ contre la décision rendue le 11 mars 2015 par le Vice-président du Tribunal civil dans la cause AC/201/2015.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en l'Étude de Me Virginie JORDAN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