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DAAJ/31/2022 vom 12. Januar 2022</w:t>
      </w:r>
    </w:p>
    <w:p>
      <w:r>
        <w:t>GE Cour de justice, 2022-01-12, FR</w:t>
      </w:r>
    </w:p>
    <w:p>
      <w:r>
        <w:rPr>
          <w:b/>
        </w:rPr>
        <w:t xml:space="preserve">Quelle: </w:t>
      </w:r>
      <w:r>
        <w:t>https://mcp.opencaselaw.ch/entscheid/ge_gerichte_DAAJ_31_2022</w:t>
      </w:r>
    </w:p>
    <w:p>
      <w:r>
        <w:t>FR: GE_GERICHTE DAAJ/31/2022 du 12 janvier 2022</w:t>
      </w:r>
    </w:p>
    <w:p>
      <w:r>
        <w:t>IT: GE_GERICHTE DAAJ/31/2022 del 12 gennaio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w:t>
      </w:r>
    </w:p>
    <w:p>
      <w:r>
        <w:t>- 4/6 -</w:t>
      </w:r>
    </w:p>
    <w:p>
      <w:r>
        <w:t>AC/3496/2021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et les arrêts cités)</w:t>
      </w:r>
    </w:p>
    <w:p>
      <w:r>
        <w:rPr>
          <w:b/>
        </w:rPr>
        <w:t>E. 3.2</w:t>
      </w:r>
    </w:p>
    <w:p>
      <w:r>
        <w:t>3.2.1. Aux termes de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w:t>
      </w:r>
    </w:p>
    <w:p>
      <w:r>
        <w:rPr>
          <w:b/>
        </w:rPr>
        <w:t>E. 3.2.2</w:t>
      </w:r>
    </w:p>
    <w:p>
      <w:r>
        <w:t>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Il revient à l'employeur de prouver que la rémunération a été effectivement été payée (ATF 125 III 78 consid. 3b).</w:t>
      </w:r>
    </w:p>
    <w:p>
      <w:r>
        <w:rPr>
          <w:b/>
        </w:rPr>
        <w:t>E. 3.2.3</w:t>
      </w:r>
    </w:p>
    <w:p>
      <w:r>
        <w:t>La procédure simplifiée s’applique aux affaires patrimoniales dont la valeur litigieuse ne dépasse pas 30'000 fr. (art. 243 CPC). Le tribunal établit les faits d’office (art. 247 al. 2 let. b ch. 2 CPC) et applique le droit d'office (57 CPC). En procédure simplifiée, la demande ne doit pas, à la différence du procès ordinaire, être rédigée sous la forme d'un véritable mémoire. A l'instar de la requête de conciliation préalable (art. 202 al. 2), il suffit que le litige puisse être circonscrit (art. 244 al. 1). Les parties, les conclusions, l'objet du litige et la valeur litigieuse doivent être indiqués. Une motivation n'est cependant pas nécessaire (art. 244 al. 2); la demande n'a ainsi pas besoin de renfermer des allégués de fait ou de droit, et le demandeur n'est pas davantage tenu d'indiquer les moyens de preuve se rapportant aux allégations (Message du Conseil fédéral relatif à l'adoption du CPC, FF 2006 p. 6955). En dirigeant la procédure simplifiée, le juge doit notamment se laisser guider par le concept de celle-ci, adaptée aux non-juristes au moyen d'un formalisme simplifié, de la prédominance de la forme orale et du renforcement de l’implication du tribunal dans l'établissement des faits, ce qui doit avant tout bénéficier à la partie socialement plus faible (ATF 140 III 450 consid. 3.1).</w:t>
      </w:r>
    </w:p>
    <w:p>
      <w:r>
        <w:t>- 5/6 -</w:t>
      </w:r>
    </w:p>
    <w:p>
      <w:r>
        <w:t>AC/3496/2021</w:t>
      </w:r>
    </w:p>
    <w:p>
      <w:r>
        <w:rPr>
          <w:b/>
        </w:rPr>
        <w:t>E. 3.3</w:t>
      </w:r>
    </w:p>
    <w:p>
      <w:r>
        <w:t>En l'espèce, aucun élément du dossier ne permet de considérer que la procédure prud'homale contre l'ancienne employeuse de la recourante - qui vise essentiellement à obtenir le paiement des salaires impayés durant une certaine période - présenterait des difficultés de fait ou de droit auxquelles cette dernière ne pourrait faire face seule, étant rappelé que l'employeuse supporte le fardeau de la preuve du paiement du salaire. Bien que la recourante soit arrivée en Suisse en 2013 et que le français ne soit pas sa langue maternelle, elle a été en mesure de faire valoir ses droits auprès de son ancienne employeuse, comme en atteste le courrier de mise en demeure qu'elle lui a elle-même adressé en septembre 2021. Elle a par ailleurs complété le formulaire de requête de conciliation sans l'aide d'un conseil juridique, réclamant les salaires qu'elle estime lui être dus même au-delà du terme du congé mentionné par l'employeuse, ce qui tend à démontrer qu'elle a connaissance des délais légaux applicables. S'il est vrai que la question de la date de notification du congé (qui pourrait éventuellement nécessiter des actes d'instruction) a des conséquences sur la fin effective des rapports de travail, il n'en demeure pas moins que le tribunal établit les faits et applique le droit d'office lorsque la procédure simplifiée est applicable, comme en l'occurrence, et rien ne permet d'admettre que les intérêts de la recourante seraient moins bien pris en compte si elle agit sans l'assistance d'un avocat. Pour le surplus, l'ancienne employeuse a comparu en personne lors de l'audience de conciliation et il n'est pas établi qu'elle aurait mandaté un avocat pour la suite de la procédure prud'homale. Enfin, il n'y a pas lieu d'examiner les griefs de la recourante tirés du fait qu'elle n'est pas affiliée à un syndicat, puisque cet allégué nouveau est irrecevable en seconde instance. Compte tenu des faits portés à la connaissance de l'autorité de première instance, c'est à juste titre qu'elle a considéré que la désignation d'un avocat rémunéré par l'Etat ne se justifiait pas dans le cas d'espèce.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- 6/6 -</w:t>
      </w:r>
    </w:p>
    <w:p>
      <w:r>
        <w:t>AC/3496/2021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