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DAAJ/30/2019 vom 25. September 2018</w:t>
      </w:r>
    </w:p>
    <w:p>
      <w:r>
        <w:t>GE Cour de justice, 2018-09-25, FR</w:t>
      </w:r>
    </w:p>
    <w:p>
      <w:r>
        <w:rPr>
          <w:b/>
        </w:rPr>
        <w:t xml:space="preserve">Quelle: </w:t>
      </w:r>
      <w:r>
        <w:t>https://mcp.opencaselaw.ch/entscheid/ge_gerichte_DAAJ_30_2019</w:t>
      </w:r>
    </w:p>
    <w:p>
      <w:r>
        <w:t>FR: GE_GERICHTE DAAJ/30/2019 du 25 septembre 2018</w:t>
      </w:r>
    </w:p>
    <w:p>
      <w:r>
        <w:t>IT: GE_GERICHTE DAAJ/30/2019 del 25 settembre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novembre 2017 n'a pas été produit. En outre, le courriel du 9 novembre 2017 semble</w:t>
      </w:r>
    </w:p>
    <w:p>
      <w:r>
        <w:t>- 5/6 -</w:t>
      </w:r>
    </w:p>
    <w:p>
      <w:r>
        <w:t>AC/2281/2018 faire état d'un tarif horaire compris entre 18 fr. 75 (450 fr. pour trois jours) et 25 fr. (100 fr. pour une demi-journée) et non de 15 fr. ainsi qu'allégué par la recourante. En tout état, il est difficile de déterminer de quelle manière la recourante calcule le montant de 57'000 fr. qu'elle entend réclamer à titre d'arriérés de salaires et de pauses non prises. Ce d'autant plus qu'elle a été rémunérée sur la base de factures qu'elle a elle-même établies. Compte tenu de ce qui précède, c'est à juste titre que l'Autorité de première instance a refusé d'octroyer l'assistance juridique à la recourante, faute de chances de succès de l'action envisagée. Partant, le recours, infondé, sera rejeté.</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publié in RDAF 2017 I p. 336; 139 III 396 consid. 1.2 et les arrêts cités).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w:t>
      </w:r>
    </w:p>
    <w:p>
      <w:r>
        <w:t>- 4/6 -</w:t>
      </w:r>
    </w:p>
    <w:p>
      <w:r>
        <w:t>AC/2281/2018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et les arrêts cités; 133 III 614 consid. 5).</w:t>
      </w:r>
    </w:p>
    <w:p>
      <w:r>
        <w:rPr>
          <w:b/>
        </w:rPr>
        <w:t>E. 3.2.1</w:t>
      </w:r>
    </w:p>
    <w:p>
      <w:r>
        <w:t>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une prestation de travail, un rapport de subordination, un élément de durée et une rémunération (arrêts du Tribunal fédéral 4A_10/2017 du 19 juillet 2017 consid. 3.1 et 4A_200/2015 du 3 septembre 2015 consid. 4.2.1).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w:t>
      </w:r>
    </w:p>
    <w:p>
      <w:r>
        <w:rPr>
          <w:b/>
        </w:rPr>
        <w:t>E. 3.2.2</w:t>
      </w:r>
    </w:p>
    <w:p>
      <w:r>
        <w:t>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w:t>
      </w:r>
    </w:p>
    <w:p>
      <w:r>
        <w:rPr>
          <w:b/>
        </w:rPr>
        <w:t>E. 3.3</w:t>
      </w:r>
    </w:p>
    <w:p>
      <w:r>
        <w:t>En l'espèce, la recourante soutient avoir été liée par un contrat de travail avec B_______ (ou son directeur administratif et financier, ou encore la société D_______ SA) et avoir, à ce titre, perçu un salaire inférieur au tarif horaire habituel pour une activité d'interprète. Les quelques pièces produites ne suffisent toutefois pas à établir ni même à rendre vraisemblables ses allégations, en particulier l'existence de rapports de travail, puisque le courriel du 17 mars 2016 et la facture du 11 août 2016 se rapportent à la vente de matériel et non à une activité d'interprète et que le décompte joint au courriel du</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AC/2281/2018 PAR CES MOTIFS, LE VICE-PRESIDENT DE LA COUR : A la forme : Déclare recevable le recours formé le 8 octobre 2018 par A_______ contre la décision rendue le 25 septembre 2018 par le Vice-président du Tribunal civil dans la cause AC/2281/2018. Au fond : Le rejette. Déboute A_______ de toutes autres conclusions. Dit qu'il n'est pas perçu de frais judiciaires pour le recours, ni alloué de dépens. Notifie une copie de la présente décision à A_______ en l'étude de Me Joanna Bürgisser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