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DAAJ/2/2018 vom 9. November 2017</w:t>
      </w:r>
    </w:p>
    <w:p>
      <w:r>
        <w:t>GE Cour de justice, 2017-11-09, FR</w:t>
      </w:r>
    </w:p>
    <w:p>
      <w:r>
        <w:rPr>
          <w:b/>
        </w:rPr>
        <w:t xml:space="preserve">Quelle: </w:t>
      </w:r>
      <w:r>
        <w:t>https://mcp.opencaselaw.ch/entscheid/ge_gerichte_DAAJ_2_2018</w:t>
      </w:r>
    </w:p>
    <w:p>
      <w:r>
        <w:t>FR: GE_GERICHTE DAAJ/2/2018 du 9 novembre 2017</w:t>
      </w:r>
    </w:p>
    <w:p>
      <w:r>
        <w:t>IT: GE_GERICHTE DAAJ/2/2018 del 9 novembre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- 3/6 -</w:t>
      </w:r>
    </w:p>
    <w:p>
      <w:r>
        <w:t>AC/3128/2017</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ATF 135 I 221 consid. 5.1 ; arrêt du Tribunal fédéral 2C_585/2015 du 30 novembre 2015 consid. 5).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t>- 4/6 -</w:t>
      </w:r>
    </w:p>
    <w:p>
      <w:r>
        <w:t>AC/3128/2017 Les ressources effectives des personnes qui ont à l'égard du requérant une obligation d'entretien doivent être prises en compte (ATF 119 Ia 11 consid. 3a), le devoir de l'État d'accorder l'assistance judiciaire à un plaideur impécunieux dans une cause non dénuée de chances de succès étant subsidiaire à l'obligation d'entretien qui résulte du droit de la famille (ATF 138 III 672 consid. 4.2.1 ; arrêt du Tribunal fédéral 5A_556/2014 du 4 mars 2015 consid. 3.1). La fortune d'un requérant est prise en compte dans la mesure où l'on peut exiger qu'il entame, aliène ou gage ses biens, mobiliers ou immobiliers, pour financer la défense juridique de ses intérêts (ATF 124 I 1 consid. 2a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 vie (DAAJ/______/2013 ; DONZALLAZ, Loi sur le Tribunal fédéral : commentaire, Berne 2008, n. 1815 ad art. 64 LTF).</w:t>
      </w:r>
    </w:p>
    <w:p>
      <w:r>
        <w:rPr>
          <w:b/>
        </w:rPr>
        <w:t>E. 3.2</w:t>
      </w:r>
    </w:p>
    <w:p>
      <w:r>
        <w:t>En l'espèce, la recourante se plaint du fait que les franchises d'assurance-maladie ainsi que la part de frais médicaux non couverte par l'assurance n'ont pas été prises en compte. Cela étant, de tels frais n'ont pas été invoqués devant l'autorité de première instance, de sorte que le grief est irrecevable. En revanche, la recourante critique à juste titre le fait que les allocations familiales, d'un montant de 600 fr., ont été comptées à double, dès lors qu'elles sont incluses dans les indemnités journalières de chômage de son mari. L'autorité de première instance a retenu que la moyenne des indemnités journalières de l'époux de la recourante s'élevait à 5'625 fr. 75, dont il convient donc de déduire 600 fr. d'allocations familiales. Le disponible mensuel du ménage de la recourante s'élevait ainsi à 408 fr. (5'025 fr. d'indemnités journalières du chômage de l'époux + 600 fr. d'allocations familiales + 333 fr. 35 d'allocation de logement - 5'550 fr. de charges) au moment du dépôt de la requête d'assistance juridique. Cela étant, il était arbitraire de ne pas tenir compte du fait qu'avec un solde de droit de 57 jours à fin septembre 2017, l'époux de la recourante aurait épuisé son droit au</w:t>
      </w:r>
    </w:p>
    <w:p>
      <w:r>
        <w:t>- 5/6 -</w:t>
      </w:r>
    </w:p>
    <w:p>
      <w:r>
        <w:t>AC/3128/2017 chômage avant la fin du mois de décembre 2017 (22 jours en octobre, 22 en novembre, puis un solde de 13 jours en décembre). Les ressources du ménage vont ainsi être notablement réduites à compter du mois de décembre 2017. Compte tenu de la fortune de l'époux, composée de son épargne de 29'583 fr. et de ses polices d'assurance-vie dont les valeurs de rachat totalisaient 32'633 fr. au 31 décembre 2016, la famille de la recourante ne pourra vraisemblablement pas, en l'état, bénéficier des prestations de l'Hospice général (cf. art. 1 al. 2 Règlement d'exécution de la loi sur l'insertion et l'aide sociale individuelle, qui fixe la limite de la fortune à 10'000 fr. pour l'ensemble d'une cellule familiale). A priori, à compter du mois de janvier 2018, les ressources du ménage seront composées uniquement des allocations familiales et de logement. Au regard de ce qui précède et des charges admissibles de la famille, la fortune dont dispose le ménage de la recourante doit être considérée comme une réserve de secours. Il ne peut donc être exigé de son mari qu'il puise dans cette réserve pour financer la procédure de divorce sur requête commune. C'est donc à tort que le Vice-président du Tribunal civil a considéré que la condition d'indigence n'était pas remplie, de sorte que la décision querellée sera annulée. Par ailleurs, il ne peut être considéré, à première vue, que la procédure envisagée serait dénuée de chances de succès. Les deux conditions posées par l'art. 117 CPC étant remplies, la recourante sera mis au bénéfice de l'assistance juridique pour une procédure de divorce sur requête commune.</w:t>
      </w:r>
    </w:p>
    <w:p>
      <w:r>
        <w:rPr>
          <w:b/>
        </w:rPr>
        <w:t>E. 4</w:t>
      </w:r>
    </w:p>
    <w:p>
      <w:r>
        <w:t>Sauf exceptions non réalisées en l'espèce, il n'est pas perçu de frais judiciaires pour la procédure d'assistance juridique (art. 119 al. 6 CPC). * * * * *</w:t>
      </w:r>
    </w:p>
    <w:p>
      <w:r>
        <w:t>- 6/6 -</w:t>
      </w:r>
    </w:p>
    <w:p>
      <w:r>
        <w:t>AC/3128/2017 PAR CES MOTIFS, LE VICE-PRÉSIDENT DE LA COUR : A la forme : Déclare recevable le recours formé par A______ contre la décision rendue le 9 novembre 2017 par le Vice-président du Tribunal civil dans la cause AC/3128/2017. Au fond : Annule la décision entreprise et, cela fait: Met A______ au bénéfice de l'assistance juridique pour une procédure de divorce sur requête commune. Commet à cette fin Me B______, avocat. Déboute A______ de toutes autres conclusions. Dit qu'il n'est pas perçu de frais judiciaires pour le recours. Notifie une copie de la présente décision à A______ (art. 327 al. 5 CPC et 8 al. 3 RAJ), ainsi qu'à Me B______.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