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DAAJ/29/2016 vom 6. Januar 2016</w:t>
      </w:r>
    </w:p>
    <w:p>
      <w:r>
        <w:t>GE Cour de justice, 2016-01-06, FR</w:t>
      </w:r>
    </w:p>
    <w:p>
      <w:r>
        <w:rPr>
          <w:b/>
        </w:rPr>
        <w:t xml:space="preserve">Quelle: </w:t>
      </w:r>
      <w:r>
        <w:t>https://mcp.opencaselaw.ch/entscheid/ge_gerichte_DAAJ_29_2016</w:t>
      </w:r>
    </w:p>
    <w:p>
      <w:r>
        <w:t>FR: GE_GERICHTE DAAJ/29/2016 du 6 janvier 2016</w:t>
      </w:r>
    </w:p>
    <w:p>
      <w:r>
        <w:t>IT: GE_GERICHTE DAAJ/29/2016 del 6 gennaio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la pièce nouvelle ainsi que les allégués de faits nouveaux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t>- 5/7 -</w:t>
      </w:r>
    </w:p>
    <w:p>
      <w:r>
        <w:t>AC/318/2015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L'enfant est soumis, pendant sa minorité, à l'autorité parentale conjointe de ses père et mère (art. 296 al. 2 CC, entré en vigueur le 1er juillet 2014). Si lors de l'entrée en vigueur de cette modification, l'autorité parentale n'appartient qu'à l'un des parents, l'autre parent peut, dans le délai d'une année à compter de l'entrée en vigueur du nouveau droit, s'adresser à l'autorité de protection de l'enfant du lieu de domicile de l'enfant pour lui demander de prononcer l'autorité parentale conjointe (art. 12 al. 4 Tfin. CC). L'autorité de protection institue l'autorité parentale conjointe, à moins que le bien de l'enfant ne commande que la mère reste seule détentrice de l'autorité parentale ou que cette dernière soit attribuée exclusivement au père (art. 298b al. 2 CC, applicable par analogie selon l'art. 12 al. 4 in fine Tfin. CC). Ces dispositions instaurent le principe selon lequel l'autorité parentale conjointe constitue désormais la règle. Seules des circonstances importantes pour le bien de l'enfant permettent de s'en écarter (Message concernant la modification du CC du 16 novembre 2011, in FF 2011 8315, pp. 8339 et 8340). L'attribution exclusive de l'autorité parentale en vertu des art. 298 ss CC n'obéit pas aux conditions du retrait de l'autorité parentale au sens de l'art. 311 CC. Ainsi peuvent commander une attribution exclusive de l'autorité parentale un conflit parental important ou une incapacité durable à communiquer, si ceux-ci ont un impact négatif sur le bien de l'enfant et que cette mesure est susceptible d'améliorer la situation. L'autorité parentale conjointe est dénuée de sens lorsque la collaboration entre les parents n'est pas possible et il n'est pas dans l'intérêt supérieur de l'enfant qu'un juge ou une autorité de protection doivent constamment trancher les désaccords entre ses parents. Le maintien purement formel de l'autorité parentale pour le bien de l'enfant n'a alors aucun sens et ne serait conforme ni à l'intérêt de l'enfant, ni aux délibérations parlementaires.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(arrêt du Tribunal fédéral 5A_923/2014 du 27 août</w:t>
      </w:r>
    </w:p>
    <w:p>
      <w:r>
        <w:t>- 6/7 -</w:t>
      </w:r>
    </w:p>
    <w:p>
      <w:r>
        <w:t>AC/318/2015 2015, destiné à la publication, consid. 4.6 et 4.7; HELLE, Vers une prime au conflit parental? Analyse de l'arrêt du Tribunal fédéral 5A_923/2014, Newsletter DroitMatrimonial.ch octobre 2015).</w:t>
      </w:r>
    </w:p>
    <w:p>
      <w:r>
        <w:rPr>
          <w:b/>
        </w:rPr>
        <w:t>E. 3.3</w:t>
      </w:r>
    </w:p>
    <w:p>
      <w:r>
        <w:t>En l'espèce, comme l'a retenu à juste titre le Vice-président du Tribunal civil, aucun élément du dossier ne permet a priori de considérer que le conflit parental serait aigu au point qu'il serait contraire à l'intérêt des enfants que l'autorité parentale soit exercée en commun. Les affirmations contraires de la recourante sur ce point, notamment les violences verbales alléguées, sont d'ailleurs contredites par le rapport du SPMi. Au demeurant, les parents se sont engagés à initier une médiation, de sorte qu'il semble envisageable que le conflit, encore actuel selon la recourante, puisse s'atténuer à l'avenir. Le fait que la recourante déclare désormais, dans le cadre du présent recours, ne plus être d'accord avec la mise en place d'une telle médiation n'est pas susceptible de remettre en cause les considérations qui précèdent, la situation devant être appréciée au jour du dépôt de la requête. Par ailleurs, dans son recours devant la Chambre de surveillance de la Cour de justice, la recourante n'a pas allégué que le père des enfants aurait concrètement compromis la prise en charge nécessaire au bon développement de ces derniers, par exemple en tentant de la bloquer sur des questions concernant les enfants en matière médicale. En tout état, le fait que le dialogue entre les parents s'avère difficile et tendu ne semble au premier abord pas constituer un motif suffisant pour que le père ne demeure pas impliqué dans l'éducation de ses enfants. Pour le surplus, la curatelle de surveillance du droit de visite a justement été instaurée pour aider la recourante et le père des enfants à aplanir leurs différends et à limiter les tensions. Enfin, le fait que le père des enfants ait déposé sa demande devant le TPAE huit mois après l'entrée en vigueur du nouveau droit est dénué de pertinence. Compte tenu de ce qui précède, c'est à bon droit que le Vice-président du Tribunal civil a refusé d'octroyer l'assistance juridique à la recourante au motif que son recours contre le jugement du TPAE semblait dénué de chances de succès. Partant, le présent recours, infondé, sera rejeté.</w:t>
      </w:r>
    </w:p>
    <w:p>
      <w:r>
        <w:rPr>
          <w:b/>
        </w:rPr>
        <w:t>E. 4</w:t>
      </w:r>
    </w:p>
    <w:p>
      <w:r>
        <w:t>Sauf exceptions non réalisées en l'espèce, il n'est pas perçu de frais judiciaires pour la procédure d'assistance juridique (art. 119 al. 6 CPC). * * * * *</w:t>
      </w:r>
    </w:p>
    <w:p>
      <w:r>
        <w:t>- 7/7 -</w:t>
      </w:r>
    </w:p>
    <w:p>
      <w:r>
        <w:t>AC/318/2015 PAR CES MOTIFS, LE VICE-PRÉSIDENT DE LA COUR : A la forme : Déclare recevable le recours formé par A______ contre la décision rendue le 6 janvier 2016 par le Vice-président du Tribunal civil dans la cause AC/318/2015. Au fond : Le rejette. Déboute A______ de toutes autres conclusions. Dit qu'il n'est pas perçu de frais judiciaires pour le recours. Notifie une copie de la présente décision à A______ en l'Étude de Me Mélanie MATHYS DONZE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