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DAAJ/28/2022 vom 21. Juni 2021</w:t>
      </w:r>
    </w:p>
    <w:p>
      <w:r>
        <w:t>GE Cour de justice, 2021-06-21, FR</w:t>
      </w:r>
    </w:p>
    <w:p>
      <w:r>
        <w:rPr>
          <w:b/>
        </w:rPr>
        <w:t xml:space="preserve">Quelle: </w:t>
      </w:r>
      <w:r>
        <w:t>https://mcp.opencaselaw.ch/entscheid/ge_gerichte_DAAJ_28_2022</w:t>
      </w:r>
    </w:p>
    <w:p>
      <w:r>
        <w:t>FR: GE_GERICHTE DAAJ/28/2022 du 21 juin 2021</w:t>
      </w:r>
    </w:p>
    <w:p>
      <w:r>
        <w:t>IT: GE_GERICHTE DAAJ/28/2022 del 21 giugno 2021</w:t>
      </w:r>
    </w:p>
    <w:p>
      <w:pPr>
        <w:pStyle w:val="Heading2"/>
      </w:pPr>
      <w:r>
        <w:t>Erwägungen</w:t>
      </w:r>
    </w:p>
    <w:p>
      <w:r>
        <w:rPr>
          <w:b/>
        </w:rPr>
        <w:t>E. 1.1</w:t>
      </w:r>
    </w:p>
    <w:p>
      <w:r>
        <w:t>En tant qu'elle refuse l'assistance juridique, la décision entreprise est sujette à recours auprès de la présidente de la Cour de justice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Pour distinguer les voies de droit ordinaires des voies de droit extraordinaires, le Message du CPC s’attache à savoir si le recours a ou non un effet suspensif de par la loi. L'appel y est expressément classé dans la catégorie des voies de droit ordinaires, car il a en principe un effet suspensif. En revanche, le recours selon les art. 319 ss CPC, qui selon l'art. 325 CPC n'a pas d'effet suspensif de par la loi, est décrit dans le Message comme une voie de droit extraordinaire (p. 6976), ce qui correspond à l’avis de la doctrine majoritaire. Dès lors que les caractéristiques du recours selon les</w:t>
      </w:r>
    </w:p>
    <w:p>
      <w:r>
        <w:t>- 5/6 -</w:t>
      </w:r>
    </w:p>
    <w:p>
      <w:r>
        <w:t>AC/1803/2021 art. 319 ss CPC et du recours en matière civile au Tribunal fédéral contre les jugements condamnatoires ou en constat sont très similaires, il faut admettre que le recours en matière civile, s'il ne vise pas un jugement formateur (art. 103 al. 2 lit. a LTF), n’empêche pas de par la loi l’entrée en force de la décision attaquée, prononcée sur recours ou sur appel (ATF 146 III 284 consid. 2.3.1, 2.3.4 et 2.3.5).</w:t>
      </w:r>
    </w:p>
    <w:p>
      <w:r>
        <w:rPr>
          <w:b/>
        </w:rPr>
        <w:t>E. 2.3</w:t>
      </w:r>
    </w:p>
    <w:p>
      <w:r>
        <w:t>En l'espèce, c'est à tort que le recourant soutient que le jugement de divorce n'est entré en force que le 4 février 2021, lors du prononcé de l'arrêt du Tribunal fédéral, puisque cette voie de recours ne suspend pas automatiquement l'entrée en force de la décision attaquée. Il s'ensuit que l'ex-épouse du recourant disposait bel et bien d'un jugement définitif et exécutoire lorsqu'elle a fait notifier la poursuite à son ex-époux le 15 janvier 2021, puis lorsqu'elle a formé sa requête de mainlevée le 25 février 2021. C'est par conséquent à juste titre que l'Autorité de première instance a considéré que le recourant avait très peu de chances de s'opposer à la mainlevée définitive de son opposition. Dite décision ne contrevient aucunement à une quelconque garantie constitutionnelle. Partant, le recours, infondé, sera rejeté.</w:t>
      </w:r>
    </w:p>
    <w:p>
      <w:r>
        <w:rPr>
          <w:b/>
        </w:rPr>
        <w:t>E. 3</w:t>
      </w:r>
    </w:p>
    <w:p>
      <w:r>
        <w:t>Sauf exceptions non réalisées en l'espèce, il n'est pas perçu de frais judiciaires pour la procédure d'assistance juridique (art. 119 al. 6 CPC). * * * * *</w:t>
      </w:r>
    </w:p>
    <w:p>
      <w:r>
        <w:t>- 6/6 -</w:t>
      </w:r>
    </w:p>
    <w:p>
      <w:r>
        <w:t>AC/1803/2021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