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DAAJ/28/2018 vom 27. Februar 2018</w:t>
      </w:r>
    </w:p>
    <w:p>
      <w:r>
        <w:t>GE Cour de justice, 2018-02-27, FR</w:t>
      </w:r>
    </w:p>
    <w:p>
      <w:r>
        <w:rPr>
          <w:b/>
        </w:rPr>
        <w:t xml:space="preserve">Quelle: </w:t>
      </w:r>
      <w:r>
        <w:t>https://mcp.opencaselaw.ch/entscheid/ge_gerichte_DAAJ_28_2018</w:t>
      </w:r>
    </w:p>
    <w:p>
      <w:r>
        <w:t>FR: GE_GERICHTE DAAJ/28/2018 du 27 février 2018</w:t>
      </w:r>
    </w:p>
    <w:p>
      <w:r>
        <w:t>IT: GE_GERICHTE DAAJ/28/2018 del 27 febbraio 2018</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w:t>
      </w:r>
    </w:p>
    <w:p>
      <w:r>
        <w:t>- 4/5 -</w:t>
      </w:r>
    </w:p>
    <w:p>
      <w:r>
        <w:t>AC/588/2018 considération (ATF 135 I 221 consid. 5.1; 120 Ia 179 consid. 3a). La situation économique existant au moment du dépôt de la requête est déterminante (ATF 135 I 221 consid. 5.1;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L'Etat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 vie (DAAJ/14/2013; DONZALLAZ, Loi sur le Tribunal fédéral : commentaire, Berne 2008, n. 1815 ad art. 64 LTF).</w:t>
      </w:r>
    </w:p>
    <w:p>
      <w:r>
        <w:rPr>
          <w:b/>
        </w:rPr>
        <w:t>E. 3.2</w:t>
      </w:r>
    </w:p>
    <w:p>
      <w:r>
        <w:t>En l'espèce, le Vice-président du Tribunal civil aurait dû examiner la situation financière globale du recourant. Ensuite, il ne pouvait pas considérer que les sommes déposées sur le compte postal du recourant lui permettaient d'assumer l'avance de frais demandée par le Tribunal administratif de première instance sans examiner dans quelle mesure ces sommes représentaient sa réserve de secours, puisque ce dernier est âgé, invalide et avait été exonéré en 2017 de l'impôt sur le revenu et de la taxe d'habitation par la Direction générale française des finances publiques. Par conséquent, la décision querellée sera annulée et la cause sera renvoyée au Vice- président du Tribunal civil pour nouvelle décision. Sauf exceptions non réalisées en l'espèce, il n'est pas perçu de frais judiciaires pour la procédure d'assistance juridique (art. 119 al. 6 CPC). * * * * *</w:t>
      </w:r>
    </w:p>
    <w:p>
      <w:r>
        <w:t>- 5/5 -</w:t>
      </w:r>
    </w:p>
    <w:p>
      <w:r>
        <w:t>AC/588/2018 PAR CES MOTIFS, LE VICE-PRÉSIDENT DE LA COUR : A la forme : Déclare recevable le recours formé par A______ contre la décision rendue le 27 février 2018 par le Vice-président du Tribunal civil dans la cause AC/588/2018. Au fond :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Madame Fatina SCHAERER, greffière.</w:t>
      </w:r>
    </w:p>
    <w:p>
      <w:r>
        <w:t>Le vice-président : Patrick CHENAUX</w:t>
      </w:r>
    </w:p>
    <w:p>
      <w:r>
        <w:t>La greffière : Fatina SCHAERER</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