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DAAJ/24/2022 vom 22. Dezember 2021</w:t>
      </w:r>
    </w:p>
    <w:p>
      <w:r>
        <w:t>GE Cour de justice, 2021-12-22, FR</w:t>
      </w:r>
    </w:p>
    <w:p>
      <w:r>
        <w:rPr>
          <w:b/>
        </w:rPr>
        <w:t xml:space="preserve">Quelle: </w:t>
      </w:r>
      <w:r>
        <w:t>https://mcp.opencaselaw.ch/entscheid/ge_gerichte_DAAJ_24_2022</w:t>
      </w:r>
    </w:p>
    <w:p>
      <w:r>
        <w:t>FR: GE_GERICHTE DAAJ/24/2022 du 22 décembre 2021</w:t>
      </w:r>
    </w:p>
    <w:p>
      <w:r>
        <w:t>IT: GE_GERICHTE DAAJ/24/2022 del 22 dicembre 2021</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1.2.1 En procédure civile, les citations, ordonnances, décisions et actes des parties sont notifiés par envoi recommandé ou d'une autre manière contre accusé de réception (art. 138 al. 1 CPC). La preuve de la notification et de la date de son accomplissement incombe à l'autorité qui entend en tirer une conséquence juridique (ATF 129 I 8 consid. 2.2, 124 V 400 consid. 2a; arrêts du Tribunal fédéral 5D_62/2014 du 14 octobre 2014 consid. 3.1 et 9C_411/2008 du 17 septembre 2008 consid. 3). Lorsque la partie est représentée, les actes sont notifiés à son représentant (art. 137 CPC). Si un représentant est régulièrement désigné pour la procédure, une notification directe à la partie représentée est exclue et une telle notification n'est en principe pas régulière. L'application de l'art. 137 CPC et la conséquence que la notification doit intervenir auprès du représentant supposent qu'au moment de l'envoi, la représentation existe et aussi qu'elle a été portée à la connaissance du tribunal (ATF 143 III 28 consid. 2.2.1 et les références citées; 113 Ib 296 consid. 2). Il est un principe général de l'Etat de droit qu'une partie ne saurait subir aucun préjudice du fait d'une communication irrégulière. Il en découle aussi que le respect des dispositions relatives à la notification des actes judiciaires n'est pas un but en soi. En conséquence, les vices de communication n'entraînent pas nécessairement la nullité de l'acte judiciaire concerné. Dans ces cas, il faut examiner, d'après les circonstances du cas concret, si la partie intéressée a réellement été induite en erreur par l'irrégularité de la communication et a, de ce fait, subi un préjudice. Les règles de la bonne foi (art. 52 CPC), qui fixent une limite à l'invocation d'un vice de forme, sont décisives (arrêt du Tribunal fédéral 5A_476/2017 du 11 septembre 2017 consid. 5.1.2 et les références citées).</w:t>
      </w:r>
    </w:p>
    <w:p>
      <w:r>
        <w:rPr>
          <w:b/>
        </w:rPr>
        <w:t>E. 1.2.2</w:t>
      </w:r>
    </w:p>
    <w:p>
      <w:r>
        <w:t>En l'espèce, la décision du 22 décembre 2021 n’a pas été adressée par courrier recommandé à l’avocat du recourant, de sorte que la notification de cette décision, intervenue en violation des art. 137 et 138 CPC, est irrégulière. Le conseil du recourant ayant affirmé avoir reçu la copie de la décision litigieuse le 14 janvier 2022, il y a lieu de se fier à cette indication, étant rappelé que la notification irrégulière ne peut entraîner aucun préjudice pour le recourant. Le recours interjeté le jour même sera dès lors déclaré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- 4/7 -</w:t>
      </w:r>
    </w:p>
    <w:p>
      <w:r>
        <w:t>AC/3633/2021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3.1.1</w:t>
      </w:r>
    </w:p>
    <w:p>
      <w:r>
        <w:t>Reprenant l'art. 29 al. 3 Cst., l'art. 117 CPC prévoit que toute personne qui ne dispose pas de ressources suffisantes a droit à l'assistance judiciaire à moins que sa cause paraisse dépourvue de toute chance de succès. Outre la présence d'une cause non dénuée de chances de succès et de l'indigence, la fourniture d'un conseil juridique rémunéré par l'Etat suppose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122 I 275 consid. 3a et les arrêts cités). La nature de la procédure est sans importance (ATF 130 I 180 consid. 2.2) et le droit à la désignation d'un défenseur n'est pas exclu par principe lorsque la maxime d'office s'applique (ATF 125 V 32 consid. 4b; arrêts du Tribunal fédéral 5A_242/2018 précité consid. 2.2; 5A_706/2016 du 6 mars 2017 consid. 2.2; 5A_244/2014 du 25 juin 2014 consid. 4.2.1). Dans une telle hypothèse, il se justifie néanmoins de se montrer strict dans l'examen des conditions auxquelles une telle désignation est subordonnée (ATF 125 V 32 consid. 4b et les références citées; arrêts du Tribunal fédéral 5A_242/2018 précité consid. 2.2; 5A_706/2016 précité consid. 2.2). Le Tribunal fédéral a notamment considéré que la situation juridique d'une partie était susceptible d'être affectée de manière particulièrement grave lorsque la procédure porte sur un retrait du droit de déterminer le lieu de résidence de l'enfant (art. 310 CC) ou un</w:t>
      </w:r>
    </w:p>
    <w:p>
      <w:r>
        <w:t>- 5/7 -</w:t>
      </w:r>
    </w:p>
    <w:p>
      <w:r>
        <w:t>AC/3633/2021 retrait de l'autorité parentale (art. 311 CC). Tel n'est en revanche pas le cas lorsqu'il s'agit de réglementer le droit aux relations personnelles du parent non gardien (art. 273 CC), à moins qu'un retrait de ce droit en application de l'art. 274 al. 2 CC soit envisagé (WUFFLI/FUHRER, Handbuch unentgeltliche Rechtspflege im Zivilprozess, 2019, p. 167, n. 481 ainsi que p. 174, note de bas de page 725, avec les arrêts cités). La situation doit être appréciée à la date du dépôt de la requête et sur la base d'un examen sommaire (ATF 142 III 138 consid. 5.1; 133 III 614 consid. 5)</w:t>
      </w:r>
    </w:p>
    <w:p>
      <w:r>
        <w:rPr>
          <w:b/>
        </w:rPr>
        <w:t>E. 3.1.2</w:t>
      </w:r>
    </w:p>
    <w:p>
      <w:r>
        <w:t>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 (art. 301a al. 5 CC). La décision relative à la modification du lieu de résidence et l'adaptation des relations parents-enfants formant un tout, le juge ou l'autorité de protection doit également régler le sort des enfants dans l'hypothèse où le parent gardien déciderait de partir seul en dépit du fait que le déplacement des enfants n'a pas été autorisé (ATF 142 III 481 consid. 2.8, JdT 2017 II p. 427; arrêt du Tribunal fédéral 5A_1018/2017 précité consid. 5). Il devra procéder à ces adaptations même en l'absence de conclusion des parties, dès lors que la maxime d'office s'applique (art. 296 al. 3 CPC; arrêt du Tribunal fédéral 5A_1018/2017 précité consid. 5). Selon l'art. 445 al. 1 CC (applicable par analogie pour les mesures de protection de l'enfant; cf. art. 314 al. 1 CC), l’autorité de protection prend, d’office ou à la demande d’une personne partie à la procédure, toutes les mesures provisionnelles nécessaires pendant la durée de la procédure.</w:t>
      </w:r>
    </w:p>
    <w:p>
      <w:r>
        <w:rPr>
          <w:b/>
        </w:rPr>
        <w:t>E. 3.1.3</w:t>
      </w:r>
    </w:p>
    <w:p>
      <w:r>
        <w:t>Conformément à l'art. 295 CPC, la procédure simplifiée (cf. art. 244 CPC) est applicable aux procédures indépendantes concernant des enfants. En procédure simplifiée, la demande ne doit pas, à la différence du procès ordinaire, être rédigée sous la forme d'un véritable mémoire. A l'instar de la requête de conciliation préalable (art. 202 al. 2), il suffit que le litige puisse être circonscrit (art. 244 al. 1). Les parties, les conclusions, l'objet du litige et la valeur litigieuse doivent être indiqués. Une motivation n'est cependant pas nécessaire (art. 244 al. 2); la demande n'a ainsi pas besoin de renfermer des allégués de fait ou de droit, et le demandeur n'est pas davantage tenu d'indiquer les moyens de preuve se rapportant aux allégations (Message du Conseil fédéral relatif à l'adoption du CPC, FF 2006 p. 6955).</w:t>
      </w:r>
    </w:p>
    <w:p>
      <w:r>
        <w:t>- 6/7 -</w:t>
      </w:r>
    </w:p>
    <w:p>
      <w:r>
        <w:t>AC/3633/2021 La procédure simplifiée doit en effet permettre de procéder sans avocat et être accessible au non juriste (ATF 140 III 450 consid. 3.1; arrêt du Tribunal supérieur du canton de Zurich du 22 novembre 2011 [PP110019)].</w:t>
      </w:r>
    </w:p>
    <w:p>
      <w:r>
        <w:rPr>
          <w:b/>
        </w:rPr>
        <w:t>E. 3.2</w:t>
      </w:r>
    </w:p>
    <w:p>
      <w:r>
        <w:t>En l'espèce, il est indéniable que la procédure devant le TPAE met sérieusement en cause les intérêts du recourant, dans la mesure où elle déterminera le lieu dans lequel son ex-épouse sera autorisée à vivre avec leurs enfants. L'on ne peut cependant admettre que sa situation juridique serait susceptible d'être affectée de manière particulièrement grave et que cet enjeu justifierait à lui seul la désignation d'un avocat d'office. Aucun élément du dossier ne permet par ailleurs de considérer que la procédure en question présenterait des difficultés de fait ou de droit auxquelles le recourant ne pourrait faire face seul, même s'il ne dispose pas de connaissances juridiques. L'autorité de protection peut être saisie par un simple courrier expliquant les faits pertinents et la position du recourant à l'égard du déménagement envisagé par la mère de ses enfants, étant rappelé que ladite autorité peut prendre d'office des mesures provisionnelles en cas de nécessité, sans être liée par les conclusions des parties ou l'absence de conclusions sur ce point. Le recourant se prévaut ensuite implicitement d'une violation du principe de l'égalité des armes, faisant valoir que l'assistance juridique devrait lui être accordée, puisque la mère de l'enfant serait désormais représentée par un avocat dans la procédure devant le TPAE. Or, la circonstance que la partie adverse du recourant serait assistée d'un avocat ne résulte pas du dossier de première instance. Ce fait nouveau ne peut dès lors pas être pris en considération au stade du recours (cf. ch. 2 supra). Compte tenu des faits portés à la connaissance de l'autorité de première instance, c'est à juste titre qu'elle a considéré que la désignation d'un avocat rémunéré par l'Etat ne se justifiait pas dans le cas d'espèce. La circonstance que le bénéfice de l'assistance juridique soit octroyé dans d'autres litiges relevant du droit de la famille n'est pas susceptible de remettre en cause ce qui précède, chaque situation devant faire l'objet d'un examen concret. Le recours sera dès lors rejeté.</w:t>
      </w:r>
    </w:p>
    <w:p>
      <w:r>
        <w:rPr>
          <w:b/>
        </w:rPr>
        <w:t>E. 4</w:t>
      </w:r>
    </w:p>
    <w:p>
      <w:r>
        <w:t>Sauf exceptions non réalisées en l'espèce, il n'est pas perçu de frais judiciaires pour la procédure d'assistance juridique (art. 119 al. 6 CPC). * * * * *</w:t>
      </w:r>
    </w:p>
    <w:p>
      <w:r>
        <w:t>- 7/7 -</w:t>
      </w:r>
    </w:p>
    <w:p>
      <w:r>
        <w:t>AC/3633/2021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