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DAAJ/24/2016 vom 11. Januar 2016</w:t>
      </w:r>
    </w:p>
    <w:p>
      <w:r>
        <w:t>GE Cour de justice, 2016-01-11, FR</w:t>
      </w:r>
    </w:p>
    <w:p>
      <w:r>
        <w:rPr>
          <w:b/>
        </w:rPr>
        <w:t xml:space="preserve">Quelle: </w:t>
      </w:r>
      <w:r>
        <w:t>https://mcp.opencaselaw.ch/entscheid/ge_gerichte_DAAJ_24_2016</w:t>
      </w:r>
    </w:p>
    <w:p>
      <w:r>
        <w:t>FR: GE_GERICHTE DAAJ/24/2016 du 11 janvier 2016</w:t>
      </w:r>
    </w:p>
    <w:p>
      <w:r>
        <w:t>IT: GE_GERICHTE DAAJ/24/2016 del 11 gennaio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la pièce nouvelle produite par la recourante est écartée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créance du canton se prescrit par dix ans à compter de la fin du procès (art. 123 al. 2 CPC). A teneur des normes d'insaisissabilité pour l'année 2015,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w:t>
      </w:r>
    </w:p>
    <w:p>
      <w:r>
        <w:t>- 4/5 -</w:t>
      </w:r>
    </w:p>
    <w:p>
      <w:r>
        <w:t>AC/925/2011 En règle générale, pour des concubins sans enfants issus de leur relation et formant une communauté domestique durable, on pourra répartir la charge de loyer en proportion des revenus respectifs des partenaires, du moins s'il existe une différence sensible des situations économiques des intéressés (arrêt du Tribunal fédéral 8C_1008/2012 du 24 mai 2013).</w:t>
      </w:r>
    </w:p>
    <w:p>
      <w:r>
        <w:rPr>
          <w:b/>
        </w:rPr>
        <w:t>E. 3.2</w:t>
      </w:r>
    </w:p>
    <w:p>
      <w:r>
        <w:t>En l'espèce, le compagnon de la recourante ne dispose d'aucun revenu, ce qui n'a pas été retenu dans la décision querellée. Or, compte tenu de cet élément de fait, c'est à tort que le montant de base applicable au ménage formé par la recourante et son compagnon, ainsi que le loyer, ont été réduits de moitié. Les charges de la recourante comprennent, en effet, un montant de base de 1'700 fr., augmenté de 20% (340 fr.), ainsi que l'intégralité du loyer (1'143 fr.). Ces seules charges totalisent 3'183 fr., de sorte que le budget de la recourante est déficitaire. Elle n'a donc pas, en l'état, les moyens de rembourser le montant litigieux, étant précisé que la poursuite dirigée contre son ex-époux n'a pas encore abouti. Par conséquent, le recours sera admis et la décision querellée sera annulée. En revanche, si la situation de la recourante venait à s'améliorer, en particulier au terme de la poursuite précitée, il lui appartiendra alors de rembourser le montant litigieux à l'Etat. Il appartiendra à la recourante d'aviser sans délai l'Assistance juridique dès qu'elle aura recouvré tout ou partie de sa créance.</w:t>
      </w:r>
    </w:p>
    <w:p>
      <w:r>
        <w:rPr>
          <w:b/>
        </w:rPr>
        <w:t>E. 4</w:t>
      </w:r>
    </w:p>
    <w:p>
      <w:r>
        <w:t>Sauf exceptions non réalisées en l'espèce, il n'est pas perçu de frais judiciaires pour la procédure d'assistance juridique (art. 119 al. 6 CPC). * * * * *</w:t>
      </w:r>
    </w:p>
    <w:p>
      <w:r>
        <w:t>- 5/5 -</w:t>
      </w:r>
    </w:p>
    <w:p>
      <w:r>
        <w:t>AC/925/2011 PAR CES MOTIFS, LE VICE-PRÉSIDENT DE LA COUR : A la forme : Déclare recevable le recours formé par A______ contre la décision rendue le 11 janvier 2016 par le Vice-président du Tribunal civil dans la cause AC/925/2011. Au fond : Annule cette décision. Invite A______ à informer l'Assistance juridique dès qu'elle aura recouvré tout ou partie de sa créance.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