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DAAJ/23/2016 vom 16. November 2015</w:t>
      </w:r>
    </w:p>
    <w:p>
      <w:r>
        <w:t>GE Cour de justice, 2015-11-16, FR</w:t>
      </w:r>
    </w:p>
    <w:p>
      <w:r>
        <w:rPr>
          <w:b/>
        </w:rPr>
        <w:t xml:space="preserve">Quelle: </w:t>
      </w:r>
      <w:r>
        <w:t>https://mcp.opencaselaw.ch/entscheid/ge_gerichte_DAAJ_23_2016</w:t>
      </w:r>
    </w:p>
    <w:p>
      <w:r>
        <w:t>FR: GE_GERICHTE DAAJ/23/2016 du 16 novembre 2015</w:t>
      </w:r>
    </w:p>
    <w:p>
      <w:r>
        <w:t>IT: GE_GERICHTE DAAJ/23/2016 del 16 novembre 2015</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de sorte que le recours est recevable.</w:t>
      </w:r>
    </w:p>
    <w:p>
      <w:r>
        <w:t>- 4/7 -</w:t>
      </w:r>
    </w:p>
    <w:p>
      <w:r>
        <w:t>AC/1887/2009</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et les faits qui s'y rapportent sont écartés de la procédure.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4.1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4.2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w:t>
      </w:r>
    </w:p>
    <w:p>
      <w:r>
        <w:t>- 5/7 -</w:t>
      </w:r>
    </w:p>
    <w:p>
      <w:r>
        <w:t>AC/1887/2009 par l'État puissent lui être réclamés, c'est-à-dire qu'il ne se trouve plus dans l'indigence (CORBOZ, Le droit constitutionnel à l'assistance judiciaire, in SJ 2003 II p. 74).</w:t>
      </w:r>
    </w:p>
    <w:p>
      <w:r>
        <w:rPr>
          <w:b/>
        </w:rPr>
        <w:t>E. 4.3</w:t>
      </w:r>
    </w:p>
    <w:p>
      <w:r>
        <w:t>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Les créances ne peuvent pas être prises en compte dans l'établissement de la situation financière de l'intéressé, seules les ressources effectives étant déterminantes (DAAJ/101/2014 du 13 novembre 2014 consid. 3.2).</w:t>
      </w:r>
    </w:p>
    <w:p>
      <w:r>
        <w:rPr>
          <w:b/>
        </w:rPr>
        <w:t>E. 4.4</w:t>
      </w:r>
    </w:p>
    <w:p>
      <w:r>
        <w:t>En l'espèce, les réquisits formels ont été respectés, dès lors que la recourante a eu l'occasion de se déterminer sur sa situation financière à plusieurs reprises avant que la décision de révocation ne soit rendue. Cela étant, ladite décision viole la loi pour les motifs qui suivent : D'une part, il est erroné de considérer que la situation financière de la recourante s'est améliorée depuis le premier octroi d'assistance juridique en 2009. En effet, le jugement de divorce n'a fait que constater judiciairement que la recourante dispose d'une créance, d'un montant indéterminé, à faire valoir dans le cadre de la liquidation du régime matrimonial, en lien avec sa part de copropriété de l'immeuble sis en France. Or, cette créance était déjà connue de l'Assistance juridique dès la première décision d'octroi. Au demeurant, conformément aux principes rappelés ci-dessus, elle ne peut être prise en compte pour établir la situation financière actuelle de la recourante. D'autre part, il ressort expressément des considérants de la décision querellée que la recourante ne possède actuellement pas les moyens suffisants pour régler sa dette, la créance précitée n'ayant pas encore pu être encaissée. Par ailleurs, aucun élément du dossier ne permet de retenir que la lenteur de la procédure pendante en France est imputable à la recourante et il n'est pas possible de prédire quand ladite procédure sera terminée. Compte tenu de ce qui précède, c'est de manière arbitraire que le premier juge a considéré que la recourante était en mesure de rembourser à l'Etat la somme de 15'942 fr. 60. En conséquence, le recours est admis et la décision entreprise sera annulée, étant relevé que l'engagement de la recourante à rembourser les sommes prêtées par l'Etat a</w:t>
      </w:r>
    </w:p>
    <w:p>
      <w:r>
        <w:t>- 6/7 -</w:t>
      </w:r>
    </w:p>
    <w:p>
      <w:r>
        <w:t>AC/1887/2009 interrompu (art. 135 CO) le délai de prescription de cinq ans applicable à la procédure de révocation.</w:t>
      </w:r>
    </w:p>
    <w:p>
      <w:r>
        <w:rPr>
          <w:b/>
        </w:rPr>
        <w:t>E. 5</w:t>
      </w:r>
    </w:p>
    <w:p>
      <w:r>
        <w:t>Sauf exceptions non réalisées en l'espèce, il n'est pas perçu de frais judiciaires pour la procédure d'assistance juridique (art. 119 al. 6 CPC). * * * * *</w:t>
      </w:r>
    </w:p>
    <w:p>
      <w:r>
        <w:t>- 7/7 -</w:t>
      </w:r>
    </w:p>
    <w:p>
      <w:r>
        <w:t>AC/1887/2009 PAR CES MOTIFS, LE VICE-PRÉSIDENT DE LA COUR : A la forme : Déclare recevable le recours formé par A______ contre la décision rendue le 16 novembre 2015 par le Vice-président du Tribunal civil dans la cause AC/1887/2009. Au fond : Annule la décision entreprise. Donne acte à A______ de ce qu'elle s'engage à aviser spontanément le Greffe de l'assistance juridique aussitôt qu'elle touchera le montant qui lui revient de la vente de la copropriété en France.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