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DAAJ/21/2022 vom 15. Dezember 2021</w:t>
      </w:r>
    </w:p>
    <w:p>
      <w:r>
        <w:t>GE Cour de justice, 2021-12-15, FR</w:t>
      </w:r>
    </w:p>
    <w:p>
      <w:r>
        <w:rPr>
          <w:b/>
        </w:rPr>
        <w:t xml:space="preserve">Quelle: </w:t>
      </w:r>
      <w:r>
        <w:t>https://mcp.opencaselaw.ch/entscheid/ge_gerichte_DAAJ_21_2022</w:t>
      </w:r>
    </w:p>
    <w:p>
      <w:r>
        <w:t>FR: GE_GERICHTE DAAJ/21/2022 du 15 décembre 2021</w:t>
      </w:r>
    </w:p>
    <w:p>
      <w:r>
        <w:t>IT: GE_GERICHTE DAAJ/21/2022 del 15 dicembre 2021</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w:t>
      </w:r>
    </w:p>
    <w:p>
      <w:r>
        <w:t>- 4/7 -</w:t>
      </w:r>
    </w:p>
    <w:p>
      <w:r>
        <w:t>AC/3655/2021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L'assistance juridique ne s'étend pas aux activités relevant de l'assistance sociale ou dont d'autres organismes subventionnés directement ou indirectement peuvent se charger à moindre frais (art. 3 al. 3 RAJ applicable par renvoi de l'art. 65 LOJ). La situation doit être appréciée à la date du dépôt de la requête et sur la base d'un examen sommaire (ATF 142 III 138 consid. 5.1; 133 III 614 consid. 5).</w:t>
      </w:r>
    </w:p>
    <w:p>
      <w:r>
        <w:rPr>
          <w:b/>
        </w:rPr>
        <w:t>E. 2.1.2</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arrêts du Tribunal fédéral 2C_500/2014 du 18 juillet 2014 consid. 7.1;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137 II 345 consid. 3.2.1; 137 II 1 consid. 3; arrêt du Tribunal administratif fédéral [ci-après : TAF] F-626/2019 du 22 mars 2021 consid. 8.1; ATA/215/2020 du 25 février 2020 consid. 6a).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CC et e) les jugements pénaux prononcés à ce sujet (art. 77 al. 5 et 6 OASA). L'octroi d'un droit de séjour en faveur de victimes de violences conjugales a pour but d'empêcher qu'une personne faisant l'objet de violences conjugales poursuive la</w:t>
      </w:r>
    </w:p>
    <w:p>
      <w:r>
        <w:t>- 5/7 -</w:t>
      </w:r>
    </w:p>
    <w:p>
      <w:r>
        <w:t>AC/3655/2021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arrêts du Tribunal fédéral 2C_956/2013 du 11 avril 2014 consid. 3.1,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A l'instar de violences physiques, seuls des actes de violence psychique d'une intensité particulière peuvent justifier l'application de l'art. 50 al. 1 let. b LEI (ATF 138 II 229 consid. 3.2; arrêts du Tribunal fédéral 2C_201/2019 du 16 avril 2019 consid. 4.1; 2C_12/2018 du 28 novembre 2018 consid. 3.19).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arrêt du Tribunal fédéral 2C_68/2017 du 29 novembre 2017 consid. 5.4.1). L'art. 50 al. 2 LEI n'exige toutefois pas la preuve stricte de la maltraitance, mais se contente d'un faisceau d'indices suffisants (arrêts du Tribunal fédéral 2C_593/2019 du 11 juillet 2019 consid. 5.2; 2C_196/2014 du 19 mai 2014 consid. 3.4) respectivement d'un degré de vraisemblance, sur la base d'une appréciation globale de tous les éléments en présence (ATF 142 I 152 consid. 6.2; arrêts du Tribunal fédéral 2C_671/2017 du 29 mars 2018 consid. 2.3 et 2C_831/2018 du 27 mai 2019 consid. 4.3.1). Des affirmations d'ordre général ou des indices faisant état de tensions ponctuelles sont insuffisants (ATF 138 II 229 consid. 3.2.3; arrêts du Tribunal fédéral 2C_12/2018 précité consid. 3.2; 2C_401/2018 du 17 septembre 2018 consid. 4.2).</w:t>
      </w:r>
    </w:p>
    <w:p>
      <w:r>
        <w:rPr>
          <w:b/>
        </w:rPr>
        <w:t>E. 2.2</w:t>
      </w:r>
    </w:p>
    <w:p>
      <w:r>
        <w:t>En l'espèce, il est vrai que la rédaction d'observations à propos d'un projet de décision de l'OCPM se situe à un stade de procédure dite non contentieuse, sans</w:t>
      </w:r>
    </w:p>
    <w:p>
      <w:r>
        <w:t>- 6/7 -</w:t>
      </w:r>
    </w:p>
    <w:p>
      <w:r>
        <w:t>AC/3655/2021 exigence formelle, de sorte qu'un justiciable peut généralement agir seul, en recourant, cas échéant, aux services d'un organisme spécialisé en matière d'aide aux étrangers. Cela étant, en dehors du fait que les démarches pour lesquelles l'aide étatique est sollicitée mettent en jeu des intérêts importants pour la recourante, puisqu'elle devra quitter la Suisse en cas de confirmation de la décision envisagée par l'OCPM, il apparaît que les exigences accrues en matière de preuve en cas d'allégations de violences conjugales en vue du maintien d'un titre de séjour rendent les démarches de la recourante suffisamment complexes, tant du point de vue factuel que juridique, pour que l'assistance d'un avocat soit nécessaire. La décision entreprise sera donc annulée et la cause renvoyée à l'autorité de première instance pour instruction et nouvelle décision, après examen des chances de succès et de la condition d'indigence.</w:t>
      </w:r>
    </w:p>
    <w:p>
      <w:r>
        <w:rPr>
          <w:b/>
        </w:rPr>
        <w:t>E. 3</w:t>
      </w:r>
    </w:p>
    <w:p>
      <w:r>
        <w:t>Sauf exceptions non réalisées en l'espèce, il n'est pas perçu de frais judiciaires pour la procédure d'assistance juridique (art. 119 al. 6 CPC). Compte tenu de l'issue du litige, l'Etat de Genève sera condamné à verser à la recourante 350 fr. à titre de dépens (ATF 140 III 501 consid. 4). * * * * *</w:t>
      </w:r>
    </w:p>
    <w:p>
      <w:r>
        <w:t>- 7/7 -</w:t>
      </w:r>
    </w:p>
    <w:p>
      <w:r>
        <w:t>AC/3655/2021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