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DAAJ/1/2024 vom 14. August 2023</w:t>
      </w:r>
    </w:p>
    <w:p>
      <w:r>
        <w:t>GE Cour de justice, 2023-08-14, FR</w:t>
      </w:r>
    </w:p>
    <w:p>
      <w:r>
        <w:rPr>
          <w:b/>
        </w:rPr>
        <w:t xml:space="preserve">Quelle: </w:t>
      </w:r>
      <w:r>
        <w:t>https://mcp.opencaselaw.ch/entscheid/ge_gerichte_DAAJ_1_2024</w:t>
      </w:r>
    </w:p>
    <w:p>
      <w:r>
        <w:t>FR: GE_GERICHTE DAAJ/1/2024 du 14 août 2023</w:t>
      </w:r>
    </w:p>
    <w:p>
      <w:r>
        <w:t>IT: GE_GERICHTE DAAJ/1/2024 del 14 agosto 2023</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du 20 juin 2014 (RCJ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t>- 5/13 -</w:t>
      </w:r>
    </w:p>
    <w:p>
      <w:r>
        <w:t>AC/2017/2023</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l’art. 61 LPA, le recours peut être formé pour violation du droit, y compris l’excès et l’abus du pouvoir d’appréciation (let. a), ou pour constatation inexacte ou incomplète des faits pertinents (let. b; al. 1). En revanche, les juridictions administratives n’ont pas compétence pour apprécier l’opportunité de la décision attaquée, sauf exception prévue</w:t>
      </w:r>
    </w:p>
    <w:p>
      <w:r>
        <w:t>- 6/13 -</w:t>
      </w:r>
    </w:p>
    <w:p>
      <w:r>
        <w:t>AC/2017/2023 par la loi, non réalisée en l’espèce (al. 2; art. 10 al. 2 de la loi d'application de la loi fédérale sur les étrangers du 16 juin 1988 - LaLEtr - F 2 10, a contrario).</w:t>
      </w:r>
    </w:p>
    <w:p>
      <w:r>
        <w:rPr>
          <w:b/>
        </w:rPr>
        <w:t>E. 5.1.1</w:t>
      </w:r>
    </w:p>
    <w:p>
      <w:r>
        <w:t>Le 1er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w:t>
      </w:r>
    </w:p>
    <w:p>
      <w:r>
        <w:rPr>
          <w:b/>
        </w:rPr>
        <w:t>E. 5.1.2</w:t>
      </w:r>
    </w:p>
    <w:p>
      <w:r>
        <w:t>En l'occurrence, la demande de renouvellement de l'autorisation de séjour ayant été formée le 9 janvier 2019, le dossier de la recourante est soumis aux dispositions de la LEI dans sa teneur en vigueur à partir du 1er janvier 2019.</w:t>
      </w:r>
    </w:p>
    <w:p>
      <w:r>
        <w:rPr>
          <w:b/>
        </w:rPr>
        <w:t>E. 5.2</w:t>
      </w:r>
    </w:p>
    <w:p>
      <w:r>
        <w:t>Aux termes de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5.3</w:t>
      </w:r>
    </w:p>
    <w:p>
      <w:r>
        <w:t>5.3.1 Selon l'art. 50 al. 1 let. a LEI, après dissolution de la famille, le droit du conjoint à l'octroi d'une autorisation de séjour et à la prolongation de sa durée de validité en vertu des art. 42 et 43 LEI subsiste si l'union conjugale a duré au moins trois ans et que les critères d’intégration définis à l’art. 58a LEI sont remplis. Il s'agit de deux conditions cumulatives (ATF 140 II 289 consid. 3.5.3; 136 II 113 consid. 3.3.3).</w:t>
      </w:r>
    </w:p>
    <w:p>
      <w:r>
        <w:rPr>
          <w:b/>
        </w:rPr>
        <w:t>E. 5.3.2</w:t>
      </w:r>
    </w:p>
    <w:p>
      <w:r>
        <w:t>La limite légale de trois ans présente un caractère absolu, quand bien même la fin de la vie conjugale serait intervenue quelques jours ou semaines seulement avant l'expiration du délai (ATF 137 II 345 consid. 3.1.3; arrêt du Tribunal fédéral 2C_1111/2015 du 9 mai 2016 consid. 4.1; ATA/777/2020 du 18 août 2020 consid. 5c). Elle se calcule en fonction de la durée pendant laquelle les époux ont fait ménage commun en Suisse (ATF 136 II 113 consid. 3.3.5; arrêt du Tribunal fédéral 2C_1111/2015 précité consid. 4.1), soit depuis la date du mariage, à condition que la cohabitation ait lieu en Suisse, jusqu'à ce que les époux cessent d'habiter sous le même toit; la cohabitation des intéressés avant leur mariage ne peut être prise en compte dans la durée de l'union conjugale (arrêt du Tribunal fédéral 2C_594/2010 du 24 novembre 2010 consid. 3.1; ATA/777/2020 précité consid. 5c).</w:t>
      </w:r>
    </w:p>
    <w:p>
      <w:r>
        <w:rPr>
          <w:b/>
        </w:rPr>
        <w:t>E. 5.3.3</w:t>
      </w:r>
    </w:p>
    <w:p>
      <w:r>
        <w:t>Selon l’art. 58a LEI,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al. 1). La situation des personnes qui, du fait d’un handicap ou d’une maladie ou pour d’autres raisons personnelles majeures, ne remplissent pas ou remplissent difficilement les critères</w:t>
      </w:r>
    </w:p>
    <w:p>
      <w:r>
        <w:t>- 7/13 -</w:t>
      </w:r>
    </w:p>
    <w:p>
      <w:r>
        <w:t>AC/2017/2023 d’intégration prévus à l’art. 58a al. 1 let. c et d LEI, est prise en compte de manière appropriée (al. 2). Les art. 77a ss OASA concrétisent ces critères d'intégration (ATF 148 II 1 consid. 2.2).</w:t>
      </w:r>
    </w:p>
    <w:p>
      <w:r>
        <w:rPr>
          <w:b/>
        </w:rPr>
        <w:t>E. 5.3.4</w:t>
      </w:r>
    </w:p>
    <w:p>
      <w:r>
        <w:t>Aux termes de l’art. 77f let. a OASA,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 handicap physique, mental ou psychique.</w:t>
      </w:r>
    </w:p>
    <w:p>
      <w:r>
        <w:rPr>
          <w:b/>
        </w:rPr>
        <w:t>E. 5.4</w:t>
      </w:r>
    </w:p>
    <w:p>
      <w:r>
        <w:t>5.4.1 L'art. 50 al. 1 let. b LEI été introduit par le législateur dans le but de permettre aux autorités de régulariser le séjour dans les cas où les conditions de l'art. 50 al. 1 let. a LEI ne sont pas données, soit que la vie commune en Suisse a duré moins de trois ans, soit que l'intégration n'est pas réussie mais où des raisons personnelles majeures l'imposent (ATF 138 II 393 consid. 3.1 et arrêts cités). L'art. 50 al. 2 LEI précise que les « raisons personnelles majeures » auxquelles se réfère l'art. 50 al. 1 let. b LEI sont notamment données lorsque le conjoint est victime de violence conjugale, que le mariage a été conclu en violation de la libre volonté d'un des époux ou que la réintégration dans le pays de provenance semble fortement compromise.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138 II 229 consid. 3.1 et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manœuvre fondée sur des motifs humanitaires (arrêt du Tribunal administratif fédéral F-6860/2016 du 6 juillet 2018 consid. 5.2.1).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(art. 30 al. 1 let. b LEI),</w:t>
      </w:r>
    </w:p>
    <w:p>
      <w:r>
        <w:t>- 8/13 -</w:t>
      </w:r>
    </w:p>
    <w:p>
      <w:r>
        <w:t>AC/2017/2023 soit l'intégration, la situation familiale, la situation financière, la durée de la présence en Suisse, l'état de santé et les possibilité de réintégration dans l'Etat de provenance. Il convient en outre de tenir compte des circonstances qui ont conduit à la dissolution du mariage (ATF 137 II 345 consid. 3.2.1, 3.2.2 et 3.2.3; 137 II 1 consid. 4.1).</w:t>
      </w:r>
    </w:p>
    <w:p>
      <w:r>
        <w:rPr>
          <w:b/>
        </w:rPr>
        <w:t>E. 5.4.2</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137 II 345 consid. 3.2.1; 137 II 1 consid. 3; arrêt du Tribunal administratif fédéral [ci-après : TAF] F-626/2019 du 22 mars 2021 consid. 8.1; ATA/215/2020 du 25 février 2020 consid. 6a).</w:t>
      </w:r>
    </w:p>
    <w:p>
      <w:r>
        <w:rPr>
          <w:b/>
        </w:rPr>
        <w:t>E. 5.4.3</w:t>
      </w:r>
    </w:p>
    <w:p>
      <w:r>
        <w:t>Si la violence conjugale au sens de l’art. 50 al. 1 let. b et al. 2 LEI, est invoquée, les autorités compétentes peuvent demander des preuves. Sont notamment considérés comme indices de violence conjugale: a) les certificats médicaux, b) les rapports de police, c) les plaintes pénales, d) les mesures au sens de l’art. 28b CC et e) les jugements pénaux prononcés à ce sujet (art. 77 al. 5 et 6 OASA).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arrêts du Tribunal fédéral 2C_956/2013 du 11 avril 2014 consid. 3.1,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à la suite de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w:t>
      </w:r>
    </w:p>
    <w:p>
      <w:r>
        <w:t>- 9/13 -</w:t>
      </w:r>
    </w:p>
    <w:p>
      <w:r>
        <w:t>AC/2017/2023 revêtir une certaine intensité. Elle constitue une maltraitance systématique ayant pour but d'exercer pouvoir et contrôle sur celui qui la subit (ATF 138 II 229 consid. 3.2.1; arrêt du Tribunal fédéral 2C_1085/2017 du 22 mai 2018 consid. 3.1). A l'instar de violences physiques, seuls des actes de violence psychique d'une intensité particulière peuvent justifier l'application de l'art. 50 al. 1 let. b LEI (ATF 138 II 229 consid. 3.2; arrêts du Tribunal fédéral 2C_201/2019 du 16 avril 2019 consid. 4.1; 2C_12/2018 du 28 novembre 2018 consid. 3.19).</w:t>
      </w:r>
    </w:p>
    <w:p>
      <w:r>
        <w:rPr>
          <w:b/>
        </w:rPr>
        <w:t>E. 5.4.4</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arrêt du Tribunal fédéral 2C_68/2017 du 29 novembre 2017 consid. 5.4.1). L'art. 50 al. 2 LEI n'exige toutefois pas la preuve stricte de la maltraitance, mais se contente d'un faisceau d'indices suffisants (arrêts du Tribunal fédéral 2C_593/2019 du 11 juillet 2019 consid. 5.2; 2C_196/2014 du 19 mai 2014 consid. 3.4) respectivement d'un degré de vraisemblance, sur la base d'une appréciation globale de tous les éléments en présence (ATF 142 I 152 consid. 6.2; arrêts du Tribunal fédéral 2C_671/2017 du 29 mars 2018 consid. 2.3; 2C_831/2018 du 27 mai 2019 consid. 4.3.1). Des affirmations d'ordre général ou des indices faisant état de tensions ponctuelles sont insuffisants (ATF 138 II 229 consid. 3.2.3; arrêts du Tribunal fédéral 2C_12/2018 précité consid. 3.2; 2C_401/2018 du 17 septembre 2018 consid. 4.2).</w:t>
      </w:r>
    </w:p>
    <w:p>
      <w:r>
        <w:rPr>
          <w:b/>
        </w:rPr>
        <w:t>E. 5.5</w:t>
      </w:r>
    </w:p>
    <w:p>
      <w:r>
        <w:t>5.5.1 Un étranger peut se prévaloir de l'art. 8 par.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ATA/384/2016 du 3 mai 2016 consid. 4d). Les relations familiales qui peuvent fonder, en vertu de l'art. 8 par. 1 CEDH, un droit à une autorisation de police des étrangers sont avant tout les rapports entre époux ainsi qu'entre parents et enfants mineurs vivant ensemble (ATF 135 I 143 consid. 1.3.2;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arrêts du Tribunal fédéral 2C_1153/2014 du 11 mai 2015 consid. 5.3 ; 2C_251/2015 du 24 mars 2015 consid. 3). A la différence de ce qui se passe en cas de vie commune, il n’est pas indispensable que le parent qui bénéficie d’un droit de visite vive dans le même pays que son enfant, même si cela compliquerait assurément l’exercice du droit de visite, mais ce dernier</w:t>
      </w:r>
    </w:p>
    <w:p>
      <w:r>
        <w:t>- 10/13 -</w:t>
      </w:r>
    </w:p>
    <w:p>
      <w:r>
        <w:t>AC/2017/2023 pourrait être, en tout état, aménagé de manière à tenir compte de la distance géographique et de la compatibilité avec des séjours touristiques (ATA/1175/2021 du 2 novembre 2021 consid. 6c; ATA/426/2016 du 24 mai 2016 consid. 9e). Ce qui est déterminant, sous l'angle de l'art. 8 par. 1 CEDH, ce sont la réalité et le caractère effectif des liens qu'un étranger a tissé avec le membre de sa famille qui bénéficie d'un droit de résider en Suisse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arrêt du Tribunal fédéral 2C_652/2013 du 17 décembre 2013 consid. 4.2; ATA/400/2016 du 10 mai 2016).</w:t>
      </w:r>
    </w:p>
    <w:p>
      <w:r>
        <w:rPr>
          <w:b/>
        </w:rPr>
        <w:t>E. 5.5.2</w:t>
      </w:r>
    </w:p>
    <w:p>
      <w:r>
        <w:t>Le droit au respect de la vie privée et familiale garanti par l'art. 8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par.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5.6</w:t>
      </w:r>
    </w:p>
    <w:p>
      <w:r>
        <w:t>5.6.1 En l'occurrence, il apparaît que la recourante, laquelle a obtenu une autorisation de séjour pour regroupement familial compte tenu du fait que son époux bénéficiait d'une autorisation de séjour en tant que travailleur européen, s'est séparée de celui-ci au mois de novembre 2015, soit moins de trois ans après son arrivée en Suisse le 5 février 2014. Il s’ensuit que la première condition de l'art. 50 al. 1 let. a LEI n'est a priori pas réalisée, si bien qu'il n'est pas nécessaire d'examiner la question de la réussite de l'intégration, les deux conditions étant cumulatives.</w:t>
      </w:r>
    </w:p>
    <w:p>
      <w:r>
        <w:rPr>
          <w:b/>
        </w:rPr>
        <w:t>E. 5.6.2</w:t>
      </w:r>
    </w:p>
    <w:p>
      <w:r>
        <w:t>La recourante a également demandé l'assistance judiciaire pour former recours auprès du TAPI contre la décision de l'OCPM, en se prévalent de son état de santé, dont la dégradation découlerait des violences conjugales subies.</w:t>
      </w:r>
    </w:p>
    <w:p>
      <w:r>
        <w:t>Les documents versés au dossier indiquent que la recourante a effectivement consulté une association dans le cadre des prétendues violences conjugales subies et qu’une intervention de la police a eu lieu dans ce contexte au domicile conjugal le 21 mars 2015. Ils n’attestent toutefois pas de la récurrence de celles-ci ni de leur gravité.</w:t>
      </w:r>
    </w:p>
    <w:p>
      <w:r>
        <w:t>- 11/13 -</w:t>
      </w:r>
    </w:p>
    <w:p>
      <w:r>
        <w:t>AC/2017/2023</w:t>
      </w:r>
    </w:p>
    <w:p>
      <w:r>
        <w:t>Si l’état de santé de la recourante paraît en avoir pâti, il apparaît que d’autres facteurs ont également participé à sa dégradation.</w:t>
      </w:r>
    </w:p>
    <w:p>
      <w:r>
        <w:t>En outre, rien n’indique que la recourante ne pourrait poursuivre son suivi psychiatrique, de même que son traitement médicamenteux dans son pays d’origine, où elle ne conteste pas être retournée récemment. A cela s’ajoute qu’il apparaît que la recourante, bien que résidant en Suisse depuis près de neuf ans selon ses dires, ne parle pas la langue française.</w:t>
      </w:r>
    </w:p>
    <w:p>
      <w:r>
        <w:t>Finalement, la nécessité de percevoir l’aide sociale entre la séparation du couple et la reconnaissance de son incapacité de travail totale indiquent qu’elle n’est pas à même de subvenir à ses besoins elle-même. Son projet de demander des prestations complémentaires en plus de sa future rente AI le confirme.</w:t>
      </w:r>
    </w:p>
    <w:p>
      <w:r>
        <w:t>Par conséquent, sa situation ne paraît a priori pas relever d’un cas d’application de l’art. 50 al. 1 let. a LEI.</w:t>
      </w:r>
    </w:p>
    <w:p>
      <w:r>
        <w:rPr>
          <w:b/>
        </w:rPr>
        <w:t>E. 5.6.3</w:t>
      </w:r>
    </w:p>
    <w:p>
      <w:r>
        <w:t>La recourante relève également la nécessité de rester auprès de sa fille et de construire des relations personnelles avec celle-ci. Sous cet angle, il n’apparaît pas non plus que la vice-présidence du Tribunal civil aurait erré en retenant l'absence de raisons personnelle majeures. Si la recourante affirme avoir une relation effective avec sa fille, les éléments au dossier ne permettent a priori pas de retenir que tel serait le cas. En effet, tandis qu’elle refusait tout contact avec sa fille, le TPI a dû ordonné son placement chez son père. La recourante ne paraît pas davantage contribuer à son entretien sur le plan financier. Elle indique que son traitement actuel lui permettrait de pouvoir renouer avec sa fille et d’accepter l’exercice de son droit de visite sous la supervision d’intervenants sociaux. Toutefois, rien ne le confirme. En revanche, la distance n’est pas considérée comme un facteur empêchant le parent concerné d’exercer son droit de visite et de construire de relations personnelles avec son enfant. En effet, rien ne s’oppose à ce que la recourante vienne rendre visite à sa fille, dans le cadre d’un séjour touristique. Au vu de ce qui précède, la vice-présidence du Tribunal civil était fondée à retenir que la recourante n'apparaissait pas pouvoir se prévaloir de l'art. 8 CEDH.</w:t>
      </w:r>
    </w:p>
    <w:p>
      <w:r>
        <w:rPr>
          <w:b/>
        </w:rPr>
        <w:t>E. 6.1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A teneur de l'art. 83 LEI, le renvoi d'un étranger ne peut être ordonné que si l'exécution de celui-ci est possible, licite ou peut être raisonnablement exigée (al. 1). L'exécution du renvoi n'est pas possible lorsque l'intéressé ne peut quitter la Suisse pour son Etat d'origine, son Etat de provenance ou un Etat tiers ni être renvoyé dans un de ces Etats</w:t>
      </w:r>
    </w:p>
    <w:p>
      <w:r>
        <w:t>- 12/13 -</w:t>
      </w:r>
    </w:p>
    <w:p>
      <w:r>
        <w:t>AC/2017/2023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6.2</w:t>
      </w:r>
    </w:p>
    <w:p>
      <w:r>
        <w:t>En l'espèce, la recourante n'allègue pas que l'exécution de son retour dans son pays d'origine serait impossible, illicite ou inexigible au regard de l'art. 83 LEI et le dossier ne laisse pas apparaître d'éléments qui tendraient à démontrer le contraire. Au vu de ce qui précède, la vice-présidence du Tribunal civil était fondée à retenir que les chances de succès du recours de la recourante auprès du TAPI paraissaient très faibles. C'est donc de manière conforme au droit qu'elle a refusé d'octroyer le bénéfice de l'assistance judiciaire à la recourante aux fins d'interjeter ledit recours. Partant, le recours, mal fondé, sera rejeté.</w:t>
      </w:r>
    </w:p>
    <w:p>
      <w:r>
        <w:rPr>
          <w:b/>
        </w:rPr>
        <w:t>E. 7</w:t>
      </w:r>
    </w:p>
    <w:p>
      <w:r>
        <w:t>Sauf exceptions non réalisées en l'espèce, il n'est pas perçu de frais judiciaires pour la procédure d'assistance juridique (art. 119 al. 6 CPC). Par ailleurs, il n'y a pas lieu à l'octroi de dépens, vu l'issue du recours. * * * * *</w:t>
      </w:r>
    </w:p>
    <w:p>
      <w:r>
        <w:t>- 13/13 -</w:t>
      </w:r>
    </w:p>
    <w:p>
      <w:r>
        <w:t>AC/2017/2023</w:t>
      </w:r>
    </w:p>
    <w:p>
      <w:r>
        <w:t>PAR CES MOTIFS, LA VICE-PRÉSIDENTE DE LA COUR :</w:t>
      </w:r>
    </w:p>
    <w:p>
      <w:r>
        <w:t>A la forme : Déclare recevable le recours formé le 25 août 2023 par A______ contre la décision rendue le 14 août 2023 par la vice-présidence du Tribunal civil dans la cause AC/2017/2023. Au fond : Rejette le recours. Déboute A______ de toutes autres conclusions. Dit qu'il n'est pas perçu de frais judiciaires pour le recours, ni alloué de dépens. Notifie une copie de la présente décision à A______ en l'Etude de Me Andres PEREZ (art. 137 CPC).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