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DAAJ/19/2018 vom 20. November 2017</w:t>
      </w:r>
    </w:p>
    <w:p>
      <w:r>
        <w:t>GE Cour de justice, 2017-11-20, FR</w:t>
      </w:r>
    </w:p>
    <w:p>
      <w:r>
        <w:rPr>
          <w:b/>
        </w:rPr>
        <w:t xml:space="preserve">Quelle: </w:t>
      </w:r>
      <w:r>
        <w:t>https://mcp.opencaselaw.ch/entscheid/ge_gerichte_DAAJ_19_2018</w:t>
      </w:r>
    </w:p>
    <w:p>
      <w:r>
        <w:t>FR: GE_GERICHTE DAAJ/19/2018 du 20 novembre 2017</w:t>
      </w:r>
    </w:p>
    <w:p>
      <w:r>
        <w:t>IT: GE_GERICHTE DAAJ/19/2018 del 20 novembre 2017</w:t>
      </w:r>
    </w:p>
    <w:p>
      <w:pPr>
        <w:pStyle w:val="Heading2"/>
      </w:pPr>
      <w:r>
        <w:t>Erwägungen</w:t>
      </w:r>
    </w:p>
    <w:p>
      <w:r>
        <w:rPr>
          <w:b/>
        </w:rPr>
        <w:t>E. 1.1</w:t>
      </w:r>
    </w:p>
    <w:p>
      <w:r>
        <w:t>En tant qu'elle refuse l'assistance juridique, la décision entreprise est sujette à recours auprès de la présidente de la Cour de justice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Aux termes de l'art. 326 al. 1 CPC, les allégations de faits et les preuves nouvelles sont irrecevables dans le cadre d'un recours. Par conséquent, les allégués de faits dont les recourants n'ont pas fait état en première instance et les pièces nouvelles ne seront pas pris en considération.</w:t>
      </w:r>
    </w:p>
    <w:p>
      <w:r>
        <w:rPr>
          <w:b/>
        </w:rPr>
        <w:t>E. 3</w:t>
      </w:r>
    </w:p>
    <w:p>
      <w:r>
        <w:t>Les recourants reprochent au Vice-président du Tribunal civil d'avoir considéré que les chances de succès de l'action en libération de dette qu'ils avaient formée étaient faibles.</w:t>
      </w:r>
    </w:p>
    <w:p>
      <w:r>
        <w:t>- 5/8 -</w:t>
      </w:r>
    </w:p>
    <w:p>
      <w:r>
        <w:t>AC/2353/2017</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139 III 475 consid. 2.2, in JdT 2015 II p. 247; 138 III 217 consid. 2.2.4, in JdT 2014 II p. 267; 128 I 225 consid. 2.5.3, in JdT 2006 IV p. 47). La situation doit être appréciée à la date du dépôt de la requête et sur la base d'un examen sommaire (ATF 142 III 138 précité consid. 5.1; 139 III 475 précité consid. 2.2; 133 III 614 consid. 5). La décision d'assistance judiciaire doit certes être rendue avec une certaine précision; elle ne doit toutefois pas conduire à déplacer à ce stade le procès au fond. S'il est inadmissible d'attendre l'administration des mesures probatoires pour se déterminer sur les chances de succès, l'autorité d'octroi de l'assistance judiciaire a néanmoins le pouvoir d'entreprendre une appréciation des preuves et des offres de preuves, pour autant que celle-ci soit nécessaire à l'évaluation des perspectives de succès. En général, dans la procédure d'octroi de l'assistance judiciaire pour un procès civil ordinaire, l'appréciation se fait sur la base des pièces produites, à savoir de la preuve par titres (arrêt du Tribunal fédéral 5A_327/2017 du 2 août 2017 consid. 4 et les références citées). Lorsque la requête d'assistance judiciaire est introduite pour la procédure de première instance, le juge ne doit pas se montrer trop strict lorsqu'il apprécie les moyens de preuve offerts par les parties. En outre, de manière générale, plus les questions en cause sont complexes et débattues, plus il faut tendre à admettre que les chances de succès de l'action sont suffisantes au sens de l'art. 117 let. b CPC (arrêt du Tribunal fédéral 5A_327/2017 précité consid. 5.2 et les références citées). L'absence de chances de succès peut résulter des faits ou du droit. L'assistance sera refusée s'il apparaît d'emblée que les faits pertinents allégués sont invraisemblables ou ne pourront pas être prouvés. Il en sera de même si, en droit, la démarche du requérant paraît d'emblée irrecevable, ou juridiquement infondée. L'autorité chargée de statuer sur l'assistance ne doit pas se substituer au juge du fond; tout au plus doit-elle examiner s'il y a des chances que le juge adopte la position soutenue par le requérant, chances qui</w:t>
      </w:r>
    </w:p>
    <w:p>
      <w:r>
        <w:t>- 6/8 -</w:t>
      </w:r>
    </w:p>
    <w:p>
      <w:r>
        <w:t>AC/2353/2017 doivent être plus ou moins équivalentes aux risques qu'il parvienne à la conclusion contraire (arrêt du Tribunal fédéral 4A_614/2015 du 25 avril 2016 consid. 3.2).</w:t>
      </w:r>
    </w:p>
    <w:p>
      <w:r>
        <w:rPr>
          <w:b/>
        </w:rPr>
        <w:t>E. 3.2</w:t>
      </w:r>
    </w:p>
    <w:p>
      <w:r>
        <w:t>A teneur de l'art. 2 al. 2 CC, l'abus manifeste d'un droit n'est pas protégé par la loi. L'existence d'un abus de droit se détermine selon les circonstances concrètes du cas, en s'inspirant des diverses catégories mises en évidence par la jurisprudence et la doctrine (ATF 138 III 425 consid. 5.2, in SJ 2013 I p. 81; 135 III 162 consid. 3.3.1; 129 III 493 consid. 5.1, in JdT 2004 I p. 49). L'emploi dans le texte légal du qualificatif "manifeste" démontre que l'abus de droit ne doit être admis qu'avec restriction (ATF 139 III 24 consid. 3.3; 138 III 401 consid. 2.4.1, in SJ 2012 I p. 446; 135 III 162 précité consid. 3.3.1). Les cas typiques en sont l'absence d'intérêt à l'exercice d'un droit, l'utilisation d'une institution juridique contrairement à son but, la disproportion manifeste des intérêts en présence, l'exercice d'un droit sans ménagement ou l'attitude contradictoire (ATF 138 III 401 précité consid. 2.4.1; 135 III 162 précité consid. 3.3.1; 132 I 249 consid. 5; ATF 129 III 493 précité consid. 5.1; 127 III 357 consid. 4c/bb, in JdT 2002 I p. 192). La règle prohibant l'abus de droit permet au juge de corriger les effets de la loi dans certains cas où l'exercice d'un droit allégué créerait une injustice manifeste (ATF 135 III 162 précité consid. 3.3.1; 134 III 52 consid. 2.1 et les références citées, in SJ 2008 I p. 286). L'exercice d'un droit est abusif lorsqu'il contredit un comportement antérieur et les attentes légitimes que ce comportement a pu susciter (ATF 133 III 61 consid. 4.1; 130 III 113 consid. 4.2, in JdT 2004 I p. 296; 129 III 493 précité consid. 5.1 et les arrêts cités). Il incombe à la partie qui se prévaut d'un abus de droit d'établir les circonstances particulières qui autorisent à retenir cette exception (ATF 134 III 52 précité consid. 2.1 in fine et les arrêts cités).</w:t>
      </w:r>
    </w:p>
    <w:p>
      <w:r>
        <w:rPr>
          <w:b/>
        </w:rPr>
        <w:t>E. 3.3</w:t>
      </w:r>
    </w:p>
    <w:p>
      <w:r>
        <w:t>En l'espèce, les recourants ont requis l'octroi de l'assistance juridique afin de faire constater l'inexistence des créances dont D______ se prétend titulaire en vertu du contrat de cautionnement solidaire conclu le 29 octobre 2012. Il n'apparaît toutefois pas, sur la base des pièces produites et des preuves offertes, selon un examen sommaire des faits allégués en procédure, que l'action en libération de dette formée par les recourants ait des chances d'aboutir. Premièrement, la thèse selon laquelle D______ aurait orchestré la faillite de la SARL en vue de la reprendre n'est étayée par aucun moyen de preuve probant. En effet, même à considérer, ainsi que l'affirment les recourants, que la situation financière de la SARL avait commencé à s'améliorer dès la fin de l'année 2013, cela n'empêchait pas D______ de solliciter le remboursement des soldes (toujours) négatifs des comptes en septembre 2015. Les courts délais octroyés à la SARL pour assainir la société et rembourser les soldes négatifs des comptes ne suffisent pas, à eux seuls, à retenir un abus de droit, ce</w:t>
      </w:r>
    </w:p>
    <w:p>
      <w:r>
        <w:t>- 7/8 -</w:t>
      </w:r>
    </w:p>
    <w:p>
      <w:r>
        <w:t>AC/2353/2017 d'autant plus que des premiers signaux d'alerte avaient été émis en mai 2015 déjà. En outre, compte tenu de l'état de surendettement de la SARL et des pouvoirs conférés à D______, il n'est pas étonnant que cette dernière, chargée de tous les flux de paiement, ait décidé de suspendre certains paiements et de réduire les frais. L'on ne voit également pas, prima facie, en quoi D______ aurait trahi la confiance des recourants en leur prêtant 1'500'000 fr. en 2010, via E______ SA. En effet, au moment de la signature du contrat de prêt, D______ ne pouvait pas anticiper les difficultés financières qu'éprouverait la SARL en raison de la faible fréquentation de la droguerie/parfumerie et des travaux entrepris dans les rues adjacentes à la pharmacie. Quant à l'art. 9 du contrat de cautionnement, il est douteux que le Tribunal de première instance arrive à une interprétation différente de celle retenue par le Tribunal de district de ______ [ZH], quand bien même celui-ci a statué dans le cadre de la procédure particulière de la mainlevée d'opposition. Enfin, il n'apparaît pas que les questions en cause soient complexes et débattues. Il résulte des considérations qui précèdent que c'est à bon droit que le Vice-président du Tribunal civil a refusé d'octroyer l'assistance juridique aux recourants, compte tenu des faibles chances de succès de leur action. Partant, le recours, infondé, sera rejeté. Pour le surplus, l'instance de recours n'est pas compétente pour statuer sur la requête d'assistance juridique formée par les recourants pour la présente procédure de recours (cf. art. 1 RAJ).</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- 8/8 -</w:t>
      </w:r>
    </w:p>
    <w:p>
      <w:r>
        <w:t>AC/2353/2017 PAR CES MOTIFS, LE VICE-PRÉSIDENT DE LA COUR : A la forme : Déclare recevable le recours formé le 7 décembre 2017 par A______ et B______ contre la décision rendue le 20 novembre 2017 par le Vice-président du Tribunal civil dans la cause AC/2353/2017. Au fond : Le rejette. Déboute A______ et B______ de toutes autres conclusions. Dit qu'il n'est pas perçu de frais judiciaires pour le recours, ni alloué de dépens. Notifie une copie de la présente décision à A______ et B______ en l'Etude de Me Michael WINKLER (art. 137 CPC). Siégeant : Monsieur Patrick CHENAUX, vice-président; Madame Fatina SCHAERER, greffière.</w:t>
      </w:r>
    </w:p>
    <w:p>
      <w:r>
        <w:t>Le vice-président : Patrick CHENAUX</w:t>
      </w:r>
    </w:p>
    <w:p>
      <w:r>
        <w:t>La greffière : Fatina SCHAERER</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