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DAAJ/18/2017 vom 20. Dezember 2016</w:t>
      </w:r>
    </w:p>
    <w:p>
      <w:r>
        <w:t>GE Cour de justice, 2016-12-20, FR</w:t>
      </w:r>
    </w:p>
    <w:p>
      <w:r>
        <w:rPr>
          <w:b/>
        </w:rPr>
        <w:t xml:space="preserve">Quelle: </w:t>
      </w:r>
      <w:r>
        <w:t>https://mcp.opencaselaw.ch/entscheid/ge_gerichte_DAAJ_18_2017</w:t>
      </w:r>
    </w:p>
    <w:p>
      <w:r>
        <w:t>FR: GE_GERICHTE DAAJ/18/2017 du 20 décembre 2016</w:t>
      </w:r>
    </w:p>
    <w:p>
      <w:r>
        <w:t>IT: GE_GERICHTE DAAJ/18/2017 del 20 dicembre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- 4/6 -</w:t>
      </w:r>
    </w:p>
    <w:p>
      <w:r>
        <w:t>AC/3650/2016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Aux termes de l'art. 553 al. 1 ch. 3 et al. 2 CC, l'autorité fait dresser un inventaire notamment à la demande d'un héritier, ledit inventaire étant dressé conformément à la législation cantonale (cf. art. 109 Loi d'application du Code civil concernant le contenu de l'inventaire). L'inventaire successoral au sens de la disposition précitée est une mesure de sûreté à caractère provisoire ne réglant pas le fond du litige (ATF 94 II 55 consid. 3, SJ 2013 I 475 consid. 3.2.2). L’inventaire conservatoire ne préjuge en rien du sort futur des biens laissés par le défunt. La décision que constitue l’établissement de l’inventaire au sens de l’art. 553 CC n’est prise que prima facie, à titre d’indication provisoire, et sous réserve d’un éventuel procès au fond,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(CREUX, Les inventaires civils, in Not@lex 2014 p. 74).</w:t>
      </w:r>
    </w:p>
    <w:p>
      <w:r>
        <w:t>- 5/6 -</w:t>
      </w:r>
    </w:p>
    <w:p>
      <w:r>
        <w:t>AC/3650/2016 Pour ce qui est du contenu, l’inventaire tend uniquement à établir la consistance de la succession, en énumérant les actifs, qui seuls sont significatifs à ce stade, au moment de l’ouverture de la succession. Ceux-ci doivent seulement pouvoir être identifiés. Les biens à inventorier reflètent la masse des biens existants au jour du décès, même de ceux qui n’étaient pas en possession du de cujus. Il n’y a en revanche pas à inventorier les libéralités et donations effectuées par ce dernier avant sa mort (CREUX, op. cit., p. 75).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Le droit d’obtenir des informations est en effet garanti par d’autres dispositions, notamment les art. 607 al. 3 et 610 al. 2 CC entre cohéritiers et à l’égard des tiers, l’art. 581 al. 2 CC en cas d’inventaire officiel, ainsi que par les normes contractuelles lorsque le droit a été acquis en vertu de l’art. 560 CC, par exemple envers une banque (CREUX, op. cit., p. 76). L'autorité compétente doit pouvoir obtenir, en vue d'établir l'inventaire de l'art. 553 CC, des renseignements de la part des héritiers et des tiers au sujet du patrimoine du de cujus à son décès, mais non sur ce qui s'est passé auparavant (SJ 2013 I 478 consid. 3.3.1.2).</w:t>
      </w:r>
    </w:p>
    <w:p>
      <w:r>
        <w:rPr>
          <w:b/>
        </w:rPr>
        <w:t>E. 2.3</w:t>
      </w:r>
    </w:p>
    <w:p>
      <w:r>
        <w:t>En l'espèce, la recourante fait valoir que des vérifications fiscales et bancaires auraient été nécessaires avant d'établir l'inventaire civil de la succession de sa mère, aux fins de déterminer si des libéralités avaient été effectuées au profit de son cohéritier et si des transferts bancaires auraient été opérés dans les années 2000. Au regard des règles rappelées ci-dessus, dès lors que les éléments sur lesquels la recourante souhaiterait investiguer ne se rapportent pas à l'état de la succession au moment du décès de sa mère, ils ne paraissent, a priori, pas susceptibles de figurer à l'inventaire civil ordonné par la Justice de paix. Par conséquent, c'est à juste titre que le Vice-président du Tribunal civil a rejeté la demande d'assistance juridique de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- 6/6 -</w:t>
      </w:r>
    </w:p>
    <w:p>
      <w:r>
        <w:t>AC/3650/2016 PAR CES MOTIFS, LE VICE-PRÉSIDENT DE LA COUR : A la forme : Déclare recevable le recours formé par A______ contre la décision rendue le 20 décembre 2016 par le Vice-président du Tribunal civil dans la cause AC/3650/2016.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