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DAAJ/17/2020 vom 2. Januar 2020</w:t>
      </w:r>
    </w:p>
    <w:p>
      <w:r>
        <w:t>GE Cour de justice, 2020-01-02, FR</w:t>
      </w:r>
    </w:p>
    <w:p>
      <w:r>
        <w:rPr>
          <w:b/>
        </w:rPr>
        <w:t xml:space="preserve">Quelle: </w:t>
      </w:r>
      <w:r>
        <w:t>https://mcp.opencaselaw.ch/entscheid/ge_gerichte_DAAJ_17_2020</w:t>
      </w:r>
    </w:p>
    <w:p>
      <w:r>
        <w:t>FR: GE_GERICHTE DAAJ/17/2020 du 2 janvier 2020</w:t>
      </w:r>
    </w:p>
    <w:p>
      <w:r>
        <w:t>IT: GE_GERICHTE DAAJ/17/2020 del 2 gennaio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3.1</w:t>
      </w:r>
    </w:p>
    <w:p>
      <w:r>
        <w:t>3.1.1 La fourniture d'un conseil juridique rémunéré par l'Etat suppose la réalisation de trois conditions : une cause non dénuée de chances de succès, l'indigence et la nécessité de l'assistance par un professionnel (art. 29 al. 3 Cst. et 117 let. a et b CPC;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w:t>
      </w:r>
    </w:p>
    <w:p>
      <w:r>
        <w:t>- 4/6 -</w:t>
      </w:r>
    </w:p>
    <w:p>
      <w:r>
        <w:t>AC/4065/2019 qu'elle soit ordinaire ou sommaire, unilatérale ou contradictoire, régie par la maxime d'office ou la maxime des débats, et la phase de la procédure dans laquelle intervient la requête, ne sont pas à elles seules décisives (ATF 125 V 32 consid. 4b et les arrêts cités). Le Tribunal fédéral a notamment considéré que la situation juridique d'une partie était susceptible d'être affectée de manière particulièrement grave lorsque la procédure porte sur un retrait du droit de déterminer le lieu de résidence de l'enfant (art. 310 CC) ou un retrait de l'autorité parentale (art. 311 CC). Tel n'est en revanche pas le cas lorsqu'il s'agit de réglementer le droit aux relations personnelles du parent non gardien (art. 273 CC), à moins qu'un retrait de ce droit en application de l'art. 274 al. 2 CC soit envisagé (WUFFLI/FUHRER, Handbuch unentgeltliche Rechtspflege im Zivilprozess, 2019, p. 167, n. 481 ainsi que p. 174, note de bas de page 725, avec les arrêts cités). La question de savoir si l'affaire présente des difficultés de fait ou de droit auxquelles le requérant ne peut faire face seul doit par ailleurs être examinée de manière subjective, en fonction des connaissances et des capacités de ce dernier (WUFFLI/FUHRER, op. cit., p. 172, n. 490 et p. 177, n. 505 et les réf. citées). Lorsque la procédure porte sur l'exercice du droit de visite, il est rare que l'état de fait soit à tel point complexe que l'assistance d'un conseil juridique se justifie (WUFFLI/FUHRER, op. cit., p. 174, note de bas de page 725).</w:t>
      </w:r>
    </w:p>
    <w:p>
      <w:r>
        <w:rPr>
          <w:b/>
        </w:rPr>
        <w:t>E. 3.1.2</w:t>
      </w:r>
    </w:p>
    <w:p>
      <w:r>
        <w:t>La loi mentionne également l'hypothèse où la partie adverse est assistée d'un avocat (cf. art. 118 let. c CPC), accordant ainsi une importance particulière au principe de l'égalité des armes (ATF 120 Ia 217 consid. 1; 119 Ia 134 consid. 4; arrêts du Tribunal fédéral 5A_244/2014 du 25 juin 2014 consid. 4.2.1; 5A_838/2013 du 3 février 2014 consid. 2.4 et la référence citée). De nature formelle, ce principe est enfreint lorsqu'une partie est avantagée, sans qu'il soit nécessaire que son adversaire en subisse effectivement un désavantage; ainsi, refuser la désignation d'un avocat d'office au motif que le requérant n'aurait pas démontré en quoi il en aurait concrètement besoin pour affronter une adverse partie elle-même assistée violerait le droit fédéral (arrêt du Tribunal fédéral 5A_244/2014 précité consid. 4.2.1 et la référence citée).</w:t>
      </w:r>
    </w:p>
    <w:p>
      <w:r>
        <w:rPr>
          <w:b/>
        </w:rPr>
        <w:t>E. 3.2</w:t>
      </w:r>
    </w:p>
    <w:p>
      <w:r>
        <w:t>En l'espèce, la procédure envisagée devant le TPAE, qui est régie par la maxime d'office, ne semble pas poser de difficultés telles que l'assistance d'un avocat soit nécessaire. En effet, sur le plan factuel, le TPAE pourra procéder à toutes les mesures probatoires utiles pour établir les faits pertinents. Par ailleurs, les questions juridiques à résoudre sont limitées à la fixation du droit de garde ou d'un droit de visite, et ne nécessitent pas de connaissances particulières. La recourante fait nouvellement valoir, en seconde instance, que le père de l'enfant lui ferait subir des pressions et des violences et que son état de santé actuel serait fragile, de sorte qu'elle ne serait pas en mesure de sauvegarder ses intérêts efficacement sans recourir à un conseil. Or, ces faits nouveaux ne peuvent pas être pris en considération (cf. ch. 2 supra). Compte tenu des faits portés à la connaissance de l'autorité de première</w:t>
      </w:r>
    </w:p>
    <w:p>
      <w:r>
        <w:t>- 5/6 -</w:t>
      </w:r>
    </w:p>
    <w:p>
      <w:r>
        <w:t>AC/4065/2019 instance, c'est à juste titre qu'elle a considéré que la désignation d'un avocat rémunéré par l'Etat ne se justifiait pas. Pour le surplus, les tensions qui pourraient survenir lors de l'audience seront atténuées par la maxime inquisitoire illimitée et le devoir d'interpellation accru du TPAE lié à cette dernière (art. 56 CPC). La recourante a enfin la possibilité de se faire accompagner à l'audience par une personne de confiance comme soutien moral (art. 68 al. 1 CPC; ATF 140 III 555 consid. 2.3 commenté par BASTONS BULLETTI in CPC Online, Newsletter du 7 janvier 2015), cette position n'ayant pas à être spécifiquement tenue par un avocat. Se fondant par ailleurs sur les art. 6 ch. 1 CEDH et 29 al. 3 Cst. féd., la recourante se prévaut d'une violation du principe de l'égalité des armes, faisant valoir que le bénéfice de l'aide étatique devrait lui être accordé, puisque le père de l'enfant sera vraisemblablement représenté par un avocat dans la procédure envisagée devant le TPAE. La recourante ne peut cependant tirer aucun droit de l'art. 6 CEDH, puisque le champ d'application de cette disposition ne s'étend pas à la procédure incidente relative à l'assistance judiciaire (cf. arrêt du Tribunal fédéral 4A_39/2014 du 27 mai 2014 consid. 6). Quoi qu'il en soit, aucun élément du dossier ne permet de retenir, en l'état, que le père de l'enfant sera représenté par un avocat pour la procédure devant le TPAE. Partant, le recours, infondé, sera rejeté sur ces points. Cela étant, la procédure de réglementation des droits parentaux n'étant pas gratuite et pouvant donner lieu à une avance de frais (art. 51, 52 et 77 LaCC; art. 54 et 56 RTFMC), il incombait à la Vice-présidente du Tribunal de première instance d'examiner si la recourante pouvait, en regard de ses ressources, prétendre à être exonérée de l'avance de frais et des frais judiciaires (cf. art. 118 al 1 let. a et b CPC). Or, cette question n'a pas été traitée. La décision querellée sera dès lors annulée et la cause retournée à l'Autorité de première instance pour instruction complémentaire et nouvelle décision sur ce point.</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AC/4065/2019 PAR CES MOTIFS, LE VICE-PRÉSIDENT DE LA COUR : A la forme : Déclare recevable le recours formé par A______ contre la décision rendue le 2 janvier 2020 par la Vice-présidente du Tribunal de première instance dans la cause AC/4065/2019. Au fond : Annule la décision entreprise et cela fait : Renvoie la cause à la Vice-présidente du Tribunal de première instance pour instruction complémentaire et nouvelle décision. Déboute A______ de toutes autres conclusions. Dit qu'il n'est pas perçu de frais judiciaires pour le recours, ni alloué de dépens. Notifie une copie de la présente décision à A______ en l'Étude de Me Virginie JAQUIERY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