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DAAJ/173/2019 vom 18. November 2019</w:t>
      </w:r>
    </w:p>
    <w:p>
      <w:r>
        <w:t>GE Cour de justice, 2019-11-18, FR</w:t>
      </w:r>
    </w:p>
    <w:p>
      <w:r>
        <w:rPr>
          <w:b/>
        </w:rPr>
        <w:t xml:space="preserve">Quelle: </w:t>
      </w:r>
      <w:r>
        <w:t>https://mcp.opencaselaw.ch/entscheid/ge_gerichte_DAAJ_173_2019</w:t>
      </w:r>
    </w:p>
    <w:p>
      <w:r>
        <w:t>FR: GE_GERICHTE DAAJ/173/2019 du 18 novembre 2019</w:t>
      </w:r>
    </w:p>
    <w:p>
      <w:r>
        <w:t>IT: GE_GERICHTE DAAJ/173/2019 del 18 novembre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Dans son recours, la recourante reproche au Vice-président du Tribunal civil d'avoir considéré que son appel était dénué de chances de succès. Elle fait valoir que même en écartant la question du montant de 2'664'921fr. 50, ce qui était contesté, il apparaissait qu'il n'était pas possible, comme l'avait fait le Vice- président du Tribunal civil à la suite du Tribunal, d'examiner uniquement la différence de fortune entre 2008 et 2015 puisque les avoirs détenu par son ex-époux entre ces deux dates ne pouvaient pas être retracés, les avoirs ne se trouvant pas sur les mêmes comptes. Ils devaient donc être considérés comme des acquêts sujets à partage. En outre, elle reproche au premier juge d'avoir considéré que le mariage n'avait pas influencé concrètement sa situation financière alors qu'elle avait été prise en charge par son époux depuis l'âge de 19 ans, qu'elle n'avait dès lors ni formation, ni expérience professionnelle, ni même de permis de conduire.</w:t>
      </w:r>
    </w:p>
    <w:p>
      <w:r>
        <w:t>- 7/11 -</w:t>
      </w:r>
    </w:p>
    <w:p>
      <w:r>
        <w:t>AC/2753/2017</w:t>
      </w:r>
    </w:p>
    <w:p>
      <w:r>
        <w:rPr>
          <w:b/>
        </w:rPr>
        <w:t>E. 2.1</w:t>
      </w:r>
    </w:p>
    <w:p>
      <w:r>
        <w:t>2.2.1.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Le régime légal de la participation aux acquêts (art. 181 CC) comprend les acquêts et les biens propres de chaque époux (art. 196 CC). Ceux-ci sont disjoints dans leur composition au jour de la dissolution du régime (art. 207 al. 1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A la fin du régime matrimonial, chaque époux reprend ses biens propres, pour autant qu'ils ne soient pas déjà en sa possession (art. 205 al. 1 CC). Tout bien d'un époux est présumé acquêt, sauf preuve du contraire (art. 200 al. 3 CC). En vertu de l'art. 8 CC, il appartient à l'époux qui allègue une créance en</w:t>
      </w:r>
    </w:p>
    <w:p>
      <w:r>
        <w:t>- 8/11 -</w:t>
      </w:r>
    </w:p>
    <w:p>
      <w:r>
        <w:t>AC/2753/2017 participation de prouver que le bien en question existait au moment de la dissolution (ATF 125 III 1 consid. 3, JdT 1999 I 314; ATF 118 II 27 consid. 2, JdT 1994 I 535; STEINAUER, in Commentaire romand, CC I, 2010, n. 3 ad art. 200 CC). 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w:t>
      </w:r>
    </w:p>
    <w:p>
      <w:r>
        <w:rPr>
          <w:b/>
        </w:rPr>
        <w:t>E. 2.1.3</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5A_352/2011 du 17 février 2012 consid. 7.2.2.1 non publié aux ATF 138 III 150; 5A_361/2018 du 26 juin 2018 consid. 3.1), notamment des expectatives de l'assurance-vieillesse et de la prévoyance professionnelle ou d'autres formes de prévoyance (art. 125 al. 2 ch. 8 CC). Une contribution d'entretien est due en vertu du principe de la solidarité si le mariage a eu une influence concrète sur les conditions d'existence de l'époux, en d'autres termes si le mariage a créé pour celui-ci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arrêt du Tribunal fédéral 5A_968/2017 du 25 septembre 2018 consid. 4.1) - ou encore, indépendamment de sa durée, si les époux ont eu des enfants communs (ATF 141 III 465 consid. 3.1; 135 III 59 consid. 4.1 et les références; arrêt du Tribunal fédéral 5A_968/2017 du 25 septembre 2018 consid. 4.1); une position de confiance digne de protection créée par le mariage peut être retenue pour d'autres motifs également (arrêts du Tribunal fédéral 96/2017 du 20 juillet 2017 consid. 5.1; 5A_465/2016 du 19 janvier 2017 consid. 7.2.1 et la jurisprudence citée; 5A_767/2011 du 1er juin 2012 consid. 5.2.2 et les références, publié in FamPra.ch 2012 p. 1150). Un tel mariage ne donne toutefois pas automatiquement droit à une contribution d'entretien : selon la jurisprudence, le principe de l'autonomie prime le droit à</w:t>
      </w:r>
    </w:p>
    <w:p>
      <w:r>
        <w:t>- 9/11 -</w:t>
      </w:r>
    </w:p>
    <w:p>
      <w:r>
        <w:t>AC/2753/2017 l'entretien, ce qui se déduit directement de l'art. 125 CC (ATF 141 III 465 consid. 3.1); un époux ne peut prétendre à une pension que s'il n'est pas en mesure de pourvoir lui- même à son entretien convenable et si son conjoint dispose d'une capacité contributive.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Pour fixer la contribution d'entretien, le juge doit en principe tenir compte du revenu effectif des parties (ATF 137 III 118 consid. 2.3; 137 III 102 consid. 4.2.2.2; arrêt du Tribunal fédéral 5A_876/2016 du 19 juin 2017 consid. 3.1.2).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128 III 4 consid. 4a et 4c/bb).</w:t>
      </w:r>
    </w:p>
    <w:p>
      <w:r>
        <w:rPr>
          <w:b/>
        </w:rPr>
        <w:t>E. 2.2</w:t>
      </w:r>
    </w:p>
    <w:p>
      <w:r>
        <w:t>2.2.1 En l'espèce, compte tenu de la fluctuation de la fortune mobilière de l'ex-époux de la recourante pendant le mariage, qui a varié de 873'073 fr. en 2008 à 744'390 en 2012 pour remonter ensuite à 881'196 fr. en 2015, une simple soustraction de ses avoirs entre 2008 et 2015 n'était, à première vue, pas suffisante pour retenir sans autre examen que seul la différence entre ces deux montants constituait le bénéfice de l'union conjugale. Il semblerait que l'ex-époux de la recourante a utilisé une partie des biens propres qu'il possédait au début du mariage en 2008 pour couvrir une partie des frais du ménage, le remploi de biens propres n'ayant pas été plaidé, et que sa fortune mobilière se soit recomposée ultérieurement, vraisemblablement au moyen des revenus de son travail et/ou de sa fortune, ce qui devrait être qualifié d'acquêts. Au regard de ces points, qui n'ont pas été examinés par le Tribunal et qui méritent d'être éclaircis, il ne peut à première vue être considéré que l'appel formé par la recourante contre le jugement s'agissant de la liquidation du régime matrimonial serait dépourvu de toute chance de succès.</w:t>
      </w:r>
    </w:p>
    <w:p>
      <w:r>
        <w:rPr>
          <w:b/>
        </w:rPr>
        <w:t>E. 2.2.2</w:t>
      </w:r>
    </w:p>
    <w:p>
      <w:r>
        <w:t>En revanche, s'agissant de la contribution d'entretien, c'est avec raison que le Vice- président du Tribunal civil a retenu, au stade de la vraisemblance, que le mariage, qui avait duré moins de 10 ans, n'était pas présumé avoir influencé la situation de la recourante. La recourante ne conteste d'ailleurs pas être en mesure de travailler mais fait uniquement valoir que le revenu hypothétique qui lui a été imputé est trop élevé. Compte tenu du fait que le juge du divorce s'est fondé sur des statistiques que la</w:t>
      </w:r>
    </w:p>
    <w:p>
      <w:r>
        <w:t>- 10/11 -</w:t>
      </w:r>
    </w:p>
    <w:p>
      <w:r>
        <w:t>AC/2753/2017 recourante ne critique pas, l'appel formé par la recourante sur ce point semble dénué de chances de succès.</w:t>
      </w:r>
    </w:p>
    <w:p>
      <w:r>
        <w:rPr>
          <w:b/>
        </w:rPr>
        <w:t>E. 2.2.3</w:t>
      </w:r>
    </w:p>
    <w:p>
      <w:r>
        <w:t>La recourante ne conteste pas dans le présent recours, la décision du Vice- président du Tribunal civil en tant qu'il retient que la recourante n'obtiendrait vraisemblablement pas gain de cause s'agissant du versement d'une provisio ad litem.</w:t>
      </w:r>
    </w:p>
    <w:p>
      <w:r>
        <w:rPr>
          <w:b/>
        </w:rPr>
        <w:t>E. 2.3</w:t>
      </w:r>
    </w:p>
    <w:p>
      <w:r>
        <w:t>Par conséquent, la décision du Vice-président du Tribunal civil 18 novembre 2019 sera annulée et la cause lui sera renvoyée pour examen de la condition d'indigence.</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- 11/11 -</w:t>
      </w:r>
    </w:p>
    <w:p>
      <w:r>
        <w:t>AC/2753/2017 PAR CES MOTIFS, LE VICE-PRÉSIDENT DE LA COUR : A la forme : Déclare recevable le recours formé le 2 décembre 2019 par A______ contre la décision rendue le 18 novembre 2019 par le Vice-président du Tribunal civil dans la cause AC/2753/2017. Préalablement : Ordonne l'apport de la procédure C/1______ /2017.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