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DAAJ/16/2018 vom 9. November 2017</w:t>
      </w:r>
    </w:p>
    <w:p>
      <w:r>
        <w:t>GE Cour de justice, 2017-11-09, FR</w:t>
      </w:r>
    </w:p>
    <w:p>
      <w:r>
        <w:rPr>
          <w:b/>
        </w:rPr>
        <w:t xml:space="preserve">Quelle: </w:t>
      </w:r>
      <w:r>
        <w:t>https://mcp.opencaselaw.ch/entscheid/ge_gerichte_DAAJ_16_2018</w:t>
      </w:r>
    </w:p>
    <w:p>
      <w:r>
        <w:t>FR: GE_GERICHTE DAAJ/16/2018 du 9 novembre 2017</w:t>
      </w:r>
    </w:p>
    <w:p>
      <w:r>
        <w:t>IT: GE_GERICHTE DAAJ/16/2018 del 9 novembre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 Au regard du renvoi contenu à l'art. 10 al. 4 LPA, il semble douteux que l'art. 63 LPA concernant la suspension des délais, et dont le recourant se prévaut, soit applicable à la présente procédure. La question peut toutefois demeurer indécise. L'art. 10 al. 4 LPA renvoie au RAJ, qui lui-même renvoie aux dispositions topiques du CPC (art. 8 al. 3 RAJ). En vertu de l'art. 119 al. 3 CPC, la procédure sommaire est applicable en matière d'assistance juridique. Selon l'art. 145 al. 2 let. b CPC, la suspension des délais ne s'applique pas à la procédure sommaire. Cette exception de l'art. 145 al. 2 let. b CPC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la décision entreprise mentionne uniquement le délai de recours de 30 jours, sans précisions en ce qui concerne une éventuelle suspension dudit délai.</w:t>
      </w:r>
    </w:p>
    <w:p>
      <w:r>
        <w:t>- 5/9 -</w:t>
      </w:r>
    </w:p>
    <w:p>
      <w:r>
        <w:t>AC/2991/2017 Au regard de ce qui précède, que l'on applique les règles de la LPA ou du CPC en matière de suspension des délais, il y a lieu de considérer que le recours interjeté le</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le recourant n'a pas fait état en première instance et les pièces nouvellement produites ne seront pas pris en considération. Par ailleurs, les pièces nouvelles que le recourant propose de produire ne seraient pas recevables. Pour le même motif, il ne sera pas donné suite à la demande du recourant tendant à l'apport de toutes les procédures pénales, civiles et d'assistance juridique le concernant depuis l'année 2005.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- 6/9 -</w:t>
      </w:r>
    </w:p>
    <w:p>
      <w:r>
        <w:t>AC/2991/2017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Aux termes de l'art. 16c al. 1 LCR, commet notamment une infraction grave la personne qui en violant gravement les règles de la circulation, met sérieusement en danger la sécurité d'autrui ou en prend le risque (let. a) ou conduit un véhicule automobile alors que le permis de conduire lui a été retiré (let. f). Selon l'al. 2 de cette disposition,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(let. c). D’après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phrase (qui concerne les conducteurs d'un véhicule du service du feu, du service de santé, de la police ou de la douane) (cf. également ATF 135 II 334 consid. 2.2; 132 II 234 consid. 2.3; arrêt du Tribunal fédéral 1C_188/2010 du</w:t>
      </w:r>
    </w:p>
    <w:p>
      <w:r>
        <w:rPr>
          <w:b/>
        </w:rPr>
        <w:t>E. 5</w:t>
      </w:r>
    </w:p>
    <w:p>
      <w:r>
        <w:t>janvier 2018, en la forme écrite prescrite par la loi, est recevable. En raison de l'échéance du délai de recours, il ne peut être donné suite à la conclusion du recourant tendant à compléter son recours (arrêt du Tribunal fédéral 5A_303/2012 du 30 août 2012 consid. 1.6).</w:t>
      </w:r>
    </w:p>
    <w:p>
      <w:r>
        <w:rPr>
          <w:b/>
        </w:rPr>
        <w:t>E. 6</w:t>
      </w:r>
    </w:p>
    <w:p>
      <w:r>
        <w:t>septembre 2010 consid. 2.1; ATA/552/2012 précité). D’après la jurisprudence du Tribunal fédéral, l’état de nécessité prévu aux art. 17 et 18 du code pénal suisse du 21 décembre 1937 (CP - RS 311.0) est applicable par analogie aux mesures administratives (arrêt du Tribunal fédéral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116 IV 364 consid. 1a p. 366; 113 Ib 143 consid. 3 pp. 146-147; 106 IV 1 consid. 2c p. 4; ATA/576/2011 du 6 septembre 2011; ATA/65/1998 du 17 mars 1998). Au surplus, l’auteur de l’acte illicite doit le limiter dans toute la mesure du possible et l’acte en question doit être nécessaire et adéquat (arrêt du Tribunal fédéral 6A.28/2003 du</w:t>
      </w:r>
    </w:p>
    <w:p>
      <w:r>
        <w:rPr>
          <w:b/>
        </w:rPr>
        <w:t>E. 11</w:t>
      </w:r>
    </w:p>
    <w:p>
      <w:r>
        <w:t>juillet 2002, consid. 2.2; TRECHSEL, op. cit. ch. 10 ad art. 34 et la jurisprudence citée).</w:t>
      </w:r>
    </w:p>
    <w:p>
      <w:r>
        <w:t>- 7/9 -</w:t>
      </w:r>
    </w:p>
    <w:p>
      <w:r>
        <w:t>AC/2991/2017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 3.3. En l'espèce, les infractions retenues par le Service cantonal des véhicules sont fondées sur les constatations de fait des juridictions pénales. A priori, rien ne permettait à l’autorité administrative de s'écarter de l'arrêt de la CPAR du 30 mai 2016, qui est définitif et exécutoire. La circonstance que la décision administrative ne précise pas le parcours emprunté par le recourant au moment des événements litigieux survenus le 30 novembre 2012 ne semble pas pertinente, puisque ladite décision se fonde sur l'état de fait détaillé résultant du jugement de la CPAR. Quoi qu'il en soit, le recourant ne conteste pas qu'il conduisait alors qu'il faisait l'objet d'une mesure de retrait de permis, ce qui constitue déjà une infraction grave à la LCR (cf. art. 16c al. 1 let. f LCR). Le retrait de son permis de conduire avait en effet été prononcé par décision du 13 mars 2012, en raison d'une infraction grave. Indépendamment de la question de savoir si les conditions strictes des art. 17 et 18 CP sont remplies en ce qui concerne les événements du 30 novembre 2012, tel que le soutient le recourant, il n'en demeure pas moins que la durée de 12 mois du retrait de permis prononcé le 9 août 2017 par le Service cantonal des véhicules est conforme au minimum légal institué par l’art. 16c al. 2 let. c LCR, auquel il ne peut être dérogé. Compte tenu de ce qui précède, c'est à juste titre que le Vice-président du Tribunal civil a refusé d'accorder le bénéfice de l'assistance juridique au recourant au motif que sa cause paraissait dénuée de chances de succès. Pour le surplus, les conditions de chances de succès et d'indigence étant cumulatives, et la première des deux n'étant pas remplie, l'autorité de première instance n'a pas violé le droit en n'examinant pas la situation financière du recourant et en ne l'entendant pas sur ce point. Partant, le recours, infondé, sera rejeté. 4. Sauf exceptions non réalisées en l'espèce, il n'est pas perçu de frais judiciaires pour la procédure d'assistance juridique (art. 119 al. 6 CPC). Par ailleurs, il n'y a pas lieu à</w:t>
      </w:r>
    </w:p>
    <w:p>
      <w:r>
        <w:t>- 8/9 -</w:t>
      </w:r>
    </w:p>
    <w:p>
      <w:r>
        <w:t>AC/2991/2017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w:t>
      </w:r>
    </w:p>
    <w:p>
      <w:r>
        <w:t>- 9/9 -</w:t>
      </w:r>
    </w:p>
    <w:p>
      <w:r>
        <w:t>AC/2991/2017</w:t>
      </w:r>
    </w:p>
    <w:p>
      <w:r>
        <w:t>PAR CES MOTIFS, LE VICE-PRÉSIDENT DE LA COUR : A la forme : Déclare recevable le recours formé par A______ contre la décision rendue le 9 novembre 2017 par le Vice-président du Tribunal civil dans la cause AC/2991/2017.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Fatina SCHAERER, greffière.</w:t>
      </w:r>
    </w:p>
    <w:p>
      <w:r>
        <w:t>Le vice-président : Patrick CHENAUX</w:t>
      </w:r>
    </w:p>
    <w:p>
      <w:r>
        <w:t>La greffière : Fatina SCHAERER</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