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DAAJ/16/2015 vom 29. Januar 2015</w:t>
      </w:r>
    </w:p>
    <w:p>
      <w:r>
        <w:t>GE Cour de justice, 2015-01-29, FR</w:t>
      </w:r>
    </w:p>
    <w:p>
      <w:r>
        <w:rPr>
          <w:b/>
        </w:rPr>
        <w:t xml:space="preserve">Quelle: </w:t>
      </w:r>
      <w:r>
        <w:t>https://mcp.opencaselaw.ch/entscheid/ge_gerichte_DAAJ_16_2015</w:t>
      </w:r>
    </w:p>
    <w:p>
      <w:r>
        <w:t>FR: GE_GERICHTE DAAJ/16/2015 du 29 janvier 2015</w:t>
      </w:r>
    </w:p>
    <w:p>
      <w:r>
        <w:t>IT: GE_GERICHTE DAAJ/16/2015 del 29 gennaio 2015</w:t>
      </w:r>
    </w:p>
    <w:p>
      <w:pPr>
        <w:pStyle w:val="Heading2"/>
      </w:pPr>
      <w:r>
        <w:t>Erwägungen</w:t>
      </w:r>
    </w:p>
    <w:p>
      <w:r>
        <w:rPr>
          <w:b/>
        </w:rPr>
        <w:t>E. 18</w:t>
      </w:r>
    </w:p>
    <w:p>
      <w:r>
        <w:t>de l'administration fédérale des contributions concernant le secteur Avocats et notaires, janvier 2010, p. 7, disponible sur www.estv.admin.ch).</w:t>
      </w:r>
    </w:p>
    <w:p>
      <w:r>
        <w:t>À teneur de l'art. 8 al. 1 LTVA, le lieu de la prestation de services est le lieu où le destinataire a son domicile ou le lieu où il séjourne habituellement.</w:t>
      </w:r>
    </w:p>
    <w:p>
      <w:r>
        <w:t>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w:t>
      </w:r>
    </w:p>
    <w:p>
      <w:r>
        <w:t>- 5/8 -</w:t>
      </w:r>
    </w:p>
    <w:p>
      <w:r>
        <w:t>AC/1202/2012 utilise la prestation dans un but donnant droit à la déduction, c'est ce dernier qui peut déduire l'impôt préalable, même s'il n'est pas partie au contrat conclu avec le prestataire (arrêt du Tribunal fédéral 2A.202/2006 du 27 novembre 2006 consid. 3.2).</w:t>
      </w:r>
    </w:p>
    <w:p>
      <w:r>
        <w:t>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 let. f LTVA doit l'emporter. Il y a lieu de rappeler que cette disposition fait référence à tout ce que le "destinataire, ou un tiers à sa place" dépense en contrepartie de la livraison de biens ou de la prestation de services. Cette notion prime dès lors toute autre considération, même civile. Dans ce contexte, il sied de souligner que la notion de tiers est importante s'agissant de la notion de contre-prestation, en ce sens qu'une autre personne que le destinataire peut effectuer la contre-prestation et achever l'opération afin qu'elle devienne imposable et soit imposée. Au surplus, l'art.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 prestation ou qui opère le flux d'argent (MOLLARD/OBERSON/TISSOT TENEDETTO, Traité TVA,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fédérale des contributions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(GLAUSER, Stipulation pour autrui et représentation en TVA, L'expert-comptable suisse 1998, p. 1463).</w:t>
      </w:r>
    </w:p>
    <w:p>
      <w:r>
        <w:t>Enfin, selon l'art. 10 al. 1 LTVA est assujetti à la TVA quiconque exploite une entreprise, même sans but lucratif et quels que soient sa forme juridique et le but poursuivi. Sont notamment assujettis, les personnes physiques, les sociétés de personnes, les collectivités de personnes n'ayant pas la capacité juridique qui effectuent des opérations sous une raisons sociale commune. Lorsque plusieurs avocats sont réunis au sein d'une même étude, ils peuvent être assujettis individuellement ou collectivement en tant que société inscrite au registre du commerce ou, à défaut, en tant que société simple (arrêt du Tribunal fédéral A_7029/2013 du</w:t>
      </w:r>
    </w:p>
    <w:p>
      <w:r>
        <w:rPr>
          <w:b/>
        </w:rPr>
        <w:t>E. 20</w:t>
      </w:r>
    </w:p>
    <w:p>
      <w:r>
        <w:t>février 2015 consid. 5.1). Une société simple peut donc être assujettie si elle apparaît en tant que telle vis-à-vis des tiers (OBERSON, Droit fiscal suisse, 2012, n° 229, p. 411).</w:t>
      </w:r>
    </w:p>
    <w:p>
      <w:r>
        <w:t>2.2.4. Mutatis mutandis, l'institution de la désignation par l'Etat d'un avocat en matière civile s'apparente à une stipulation pour autrui (art. 112 CO) du point de vue de la TVA. En</w:t>
      </w:r>
    </w:p>
    <w:p>
      <w:r>
        <w:t>- 6/8 -</w:t>
      </w:r>
    </w:p>
    <w:p>
      <w:r>
        <w:t>AC/1202/2012 effet, l'Etat (le mandant) charge le défenseur désigné (le promettant) de fournir une prestation au demandeur/requérant (le tiers). Les principes développés en matière de TVA dans le cadre de la stipulation pour autrui sont donc applicables par analogie à l'indemnisation du défenseur désigné. C'est ainsi le demandeur/requérant (le tiers) qui est le consommateur de la prestation, l'Etat (le mandant) ne bénéficiant pas de la prestation fournie, mais se bornant à en avancer le prix au justiciable. Cette interprétation est renforcée par le fait que le client apparaît toujours comme le "bénéficiaire" de la décision d'octroi de l'assistance judiciaire dans laquelle l'Etat désigne l'avocat qui assurera sa défense. Il ne fait donc aucun doute, pour toutes les parties en présence, que l'Etat n'agit pas pour son compte, mais en faveur d'un tiers destiné à bénéficier des services de l'avocat désigné. À ce titre, le fait que la facture ou l'état de frais soit adressé à l'Etat n'influence en rien cette situation, puisqu'il est toujours expressément indiqué, lors des échanges de correspondance avec l'autorité, que le bénéficiaire des services de l'avocat demeure le client. D'ailleurs, même si c'est l'Etat qui, formellement, désigne l'avocat, ce dernier doit suivre les instructions de son client. Ce d'autant plus qu'on ne saurait assimiler la défense civile d'un justiciable à l'externalisation d'une tâche étatique. Le droit à l'assistance juridique n'impose pas à l'État de proposer des conseils juridiques, mais d'en assumer les coûts, qui seront, cas échéant, remboursés par le bénéficiaire. En avançant les honoraires du défenseur qu'il a désigné, l'Etat supplée au financement d'une tâche qu'il ne pourrait pas accomplir lui-même, eu égard à l'indépendance nécessaire de l'avocat. Par conséquent, du point de vue fiscal, l'avocat désigné ne fournit pas une prestation à l'Etat, ni ne le décharge d'une tâche qu'il aurait sinon dû fournir lui-même, mais exécute un mandat en faveur du client - le destinataire - financé, provisoirement, vu l'obligation de remboursement de ce dernier, par l'État. La désignation d'un avocat au civil est ainsi comparable, sous l'angle de la TVA, à un mandat dont les honoraires sont payés par une assurance de protection juridique. Il est courant que les assureurs de protection juridique puissent se prononcer sur le choix d'un avocat et reçoive directement les notes d'honoraires émises par l'avocat choisi, voire possèdent même des listes d'avocats auxquels peuvent avoir recours les assurés. Nul ne saurait dans un tel cas prétendre que le service fourni par l'avocat l'est à l'assureur, et non au client assuré, ce dernier pouvant avoir éventuellement une obligation de remboursement des honoraires payés en cas de violation de son contrat. Somme toute, la situation du justiciable qui se voit désigné un avocat, dont il a, en général, proposé lui-même le nom à l'autorité, n'est en rien différente, du point de vue de l'impôt sur la valeur ajoutée, à celui de l'assuré qui déclare un sinistre à sa protection juridique. Lorsque le justiciable est domicilié à l'étranger, on conçoit mal dès lors que le traitement fiscal soit différent et que, dans un cas, l'impôt soit dû, dans l'autre, non.</w:t>
      </w:r>
    </w:p>
    <w:p>
      <w:r>
        <w:t>- 7/8 -</w:t>
      </w:r>
    </w:p>
    <w:p>
      <w:r>
        <w:t>AC/1202/2012 Enfin, il serait clairement contraire aux principes de LTVA développés ci-dessus que l'Etat doive verser la TVA à l'avocat désigné, sans pouvoir la répercuter auprès du justiciable domicilié à l'étranger, le consommateur final n'étant, cas échéant, pas imposé. Au vu de ce qui précède, lorsque le client d'un avocat désigné par l'Etat est domicilié à l'étranger, les services fournis par l'avocat ne sont pas soumis à l'impôt, puisqu'ils sont localisés à l'étranger (ACPR/214/2013 du 15 mai 2013; ACPR/149/2013 du 29 avril 2013; ACPR/402/2012 du 27 septembre 2012, confirmé par l'arrêt du Tribunal fédéral 6B_638/2012 du 10 décembre 2012). 2.3. En l'espèce, le recourant est assujetti collectivement à la TVA. Sa cliente, destinataire de la prestation, est domiciliée à l'étranger, soit en France, de sorte que la prestation de services fournie par le recourant est localisée à l'étranger au sens de la LTVA. Comme développé ci-dessus, il importe peu que l'Etat ait, temporairement ou non, pris en charge les honoraires de cette dernière. Dès lors, sa prestation de services n'est pas soumise à la taxe. Le recourant n'a donc aucune prétention à recevoir une indemnisation supplémentaire au titre de la TVA. En tout état, la Cour de céans n'est pas liée par l'opinion de l'Administration fédérale des contributions en matière de TVA, a fortiori si, comme en l'espèce, elle n'est pas confirmée par une décision judiciaire. C'est donc à raison que l'autorité précédente a refusé d'allouer un montant à ce titre. Au vu de ce qui précède, le recours sera rejeté. 3. Sauf exceptions non réalisées en l'espèce, il n'est pas perçu de frais judiciaires pour la procédure d'assistance juridique (art. 119 al. 6 CPC). Le recourant ayant succombé, il ne saurait se voir allouer des dépens.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 * * * * *</w:t>
      </w:r>
    </w:p>
    <w:p>
      <w:r>
        <w:t>- 8/8 -</w:t>
      </w:r>
    </w:p>
    <w:p>
      <w:r>
        <w:t>AC/1202/2012 PAR CES MOTIFS, LE VICE-PRÉSIDENT DE LA COUR : A la forme : Déclare recevable le recours formé par A______ contre la décision rendue le 29 janvier 2015 par le Vice-président du Tribunal civil dans la cause AC/1202/2012. Au fond : Le rejette. Déboute Maître A______ de toutes autres conclusions. Dit qu'il n'est pas perçu de frais judiciaires pour le recours. Notifie une copie de la présente décision à Maître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