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DAAJ/167/2019 vom 20. November 2019</w:t>
      </w:r>
    </w:p>
    <w:p>
      <w:r>
        <w:t>GE Cour de justice, 2019-11-20, FR</w:t>
      </w:r>
    </w:p>
    <w:p>
      <w:r>
        <w:rPr>
          <w:b/>
        </w:rPr>
        <w:t xml:space="preserve">Quelle: </w:t>
      </w:r>
      <w:r>
        <w:t>https://mcp.opencaselaw.ch/entscheid/ge_gerichte_DAAJ_167_2019</w:t>
      </w:r>
    </w:p>
    <w:p>
      <w:r>
        <w:t>FR: GE_GERICHTE DAAJ/167/2019 du 20 novembre 2019</w:t>
      </w:r>
    </w:p>
    <w:p>
      <w:r>
        <w:t>IT: GE_GERICHTE DAAJ/167/2019 del 20 novembre 2019</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3 et 321 al. 2 CPC).</w:t>
      </w:r>
    </w:p>
    <w:p>
      <w:r>
        <w:rPr>
          <w:b/>
        </w:rPr>
        <w:t>E. 1.2</w:t>
      </w:r>
    </w:p>
    <w:p>
      <w:r>
        <w:t>En l'espèce, le recours est recevable pour avoir été interjeté dans le délai utile et en la forme écrite prescrite par la loi. En revanche, le courrier du recourant expédié le 13 décembre 2019 et ses annexes est postérieur à l'échéance du délai de recours, de sorte que celui-ci est irrecevable.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ses pièces nouvelles nos 5 et 6 sus évoquées ne seront pas pris en considération.</w:t>
      </w:r>
    </w:p>
    <w:p>
      <w:r>
        <w:rPr>
          <w:b/>
        </w:rPr>
        <w:t>E. 3</w:t>
      </w:r>
    </w:p>
    <w:p>
      <w:r>
        <w:t>Le recourant reproche au Vice-président du Tribunal d'avoir limité l'octroi de l'assistance juridique à 8h00 d'avocat de manière largement insuffisante et sans aucune motivation. Il soutient que la préparation et la rédaction du mémoire d'appel a nécessité 35 heures de travail, en particulier parce qu'il a corrigé de nombreux faits inexactement retenus par le Tribunal, qu'il a invoqué des faits nouveaux et que la Cour "a ordonné un second échange d'écritures". Il explique qu'en raison du bref délai pour former appel à l'encontre du jugement sur mesures protectrices de l'union conjugale, il n'a pu solliciter l'assistance juridique avant le 17 octobre 2019 et demande un octroi rétroactif au</w:t>
      </w:r>
    </w:p>
    <w:p>
      <w:r>
        <w:rPr>
          <w:b/>
        </w:rPr>
        <w:t>E. 3.1</w:t>
      </w:r>
    </w:p>
    <w:p>
      <w:r>
        <w:t>3.1.1 Le Tribunal fédéral a déduit du droit d'être entendu, consacré à l'art. 29 al. 2 Cst., le devoir pour l'autorité de motiver sa décision, afin que le justiciable puisse en saisir la portée et, le cas échéant, l'attaquer en connaissance de cause (ATF 141 IV 249 consid. 1.3.1; 138 IV 81 consid. 2.2). Pour répondre à ces exigences, il suffit que le</w:t>
      </w:r>
    </w:p>
    <w:p>
      <w:r>
        <w:t>- 5/7 -</w:t>
      </w:r>
    </w:p>
    <w:p>
      <w:r>
        <w:t>AC/329/2019 juge mentionne, au moins brièvement, les motifs qui l'ont guidé et sur lesquels il a fondé sa décision. Il n'est cependant pas tenu de discuter tous les arguments soulevés par les parties, mais peut se limiter à ceux qu'il juge pertinents (ATF 138 I 232 consid. 5.1; arrêts du Tribunal fédéral 5A_258/2018 du 20 août 2018 consid. 4.1 et 5A_446/2017 du 27 juin 2017 consid. 4.1). Le droit d'être entendu n'est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5A_258/2018 du 20 août 2018 consid. 4.1 et les références citées).</w:t>
      </w:r>
    </w:p>
    <w:p>
      <w:r>
        <w:rPr>
          <w:b/>
        </w:rPr>
        <w:t>E. 3.1.2</w:t>
      </w:r>
    </w:p>
    <w:p>
      <w:r>
        <w:t>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2ème éd., 2016, n. 17 ad art. 118 CPC), soit en quelque sorte "à la carte" (RUEGG, in Basler Kommentar, Schweizerische Zivilprozessordnung, SPÜHLER/ TENCHIO/INFANGER, 2ème éd., 2013, n. 2 ad art. 118 CPC). L'octroi partiel peut ainsi prendre diverses formes, selon les prestations accordées, l'étendue de celles-ci ou encore la phase de procès concernée (TAPPY, CR CPC, 2ème éd. 2019,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3.1.3</w:t>
      </w:r>
    </w:p>
    <w:p>
      <w:r>
        <w:t>Aux termes de l'art. 5 al. 1 RAJ, l'assistance juridique est en principe octroyée avec effet au jour du dépôt de la requête. Elle est exceptionnellement accordée avec effet rétroactif (art. 119 al. 4 CPC et 8 al. 3 RAJ).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Dès lors l'assistance judiciaire ne peut pas être refusée au motif que l'assistance d'un avocat ne se justifierait plus, car il a déjà effectué son travail, même si des opérations ultérieures ne sont plus nécessaires. Un effet rétroactif au-delà de celui susmentionné n'est que tout à fait exceptionnel, lorsqu'il n'a pas été possible, en raison de l'urgence d'une opération de procédure impérativement requise, de déposer en même temps une requête d'assistance</w:t>
      </w:r>
    </w:p>
    <w:p>
      <w:r>
        <w:t>- 6/7 -</w:t>
      </w:r>
    </w:p>
    <w:p>
      <w:r>
        <w:t>AC/329/2019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(arrêts du Tribunal fédéral (ATF 122 I 203 consid. 2 c-g, in JdT 1997 I 604, 5A_849/2014 du 30 mars 2015 consid. 4.5 et 5A_181/2012 du 27 juin 2012 consid. 2.3.3).</w:t>
      </w:r>
    </w:p>
    <w:p>
      <w:r>
        <w:rPr>
          <w:b/>
        </w:rPr>
        <w:t>E. 3.2</w:t>
      </w:r>
    </w:p>
    <w:p>
      <w:r>
        <w:t>En l'espèce, le recourant a formé appel le 17 octobre 2019 et a requis l'assistance juridique à cette date également, de sorte qu'en application de l'art. 5 al. 1 RAJ, cet octroi a pris effet avec raison à cette date et inclut les prestations effectuées par l'avocat pour la rédaction de l'appel. Par conséquent, un effet rétroactif au 7 octobre 2019 n'est pas nécessaire. Le Vice-président du Tribunal civil n'a pas expliqué les raisons pour lesquelles il avait limité l'octroi de l'assistance juridique à 8h00 d'avocat, et une brève motivation aurait été nécessaire sous l'angle du respect du droit d'être entendu du recourant. Cela étant, le renvoi de la cause en première instance pour ce motif ne se justifie pas et constituerait une vaine formalité. En effet, il ressort de la décision du 29 janvier 2019 que le recourant a obtenu l'assistance juridique pour 10h00 d'avocat en première instance, décision qu'il n'a pas contestée, de sorte qu'il ne pouvait pas s'attendre en appel à ce que cet octroi soit aussi important, puisque selon l'appel du 17 octobre 2019, le litige est circonscrit à la question des contributions d'entretien due aux enfants et éventuellement au recourant, les autres points du litige n'ayant pas été remis en cause (attribution du domicile conjugal, garde des enfants, droit de visite et curatelle). Dans ces conditions, l'octroi de 8h00 d'avocat paraît suffisant, à tout le moins pour la rédaction et le dépôt d'un acte d'appel, étant rappelé que le conseil désigné connaissait le dossier. Le recourant avait par ailleurs la possibilité de solliciter en temps utile une extension de l'assistance juridique s'il estimait que le dépôt d'une réplique s'imposait. Pour le surplus, le recourant n'a pas contesté dans son recours le calcul du minimum vital effectué par le Vice-président du Tribunal, de sorte qu'il n'y a pas lieu d'y revenir. Il convient toutefois de préciser que le recourant devra informer au plus vite le Vice- président du Tribunal de son obligation de s'acquitter nouvellement de sa prime d'assurance-maladie afin qu'il réexamine le cas échéant sa décision relative au montant de la mensualité de remboursement de l'assistance juridique. Compte tenu de l'ensemble de ce qui précède,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w:t>
      </w:r>
    </w:p>
    <w:p>
      <w:r>
        <w:t>- 7/7 -</w:t>
      </w:r>
    </w:p>
    <w:p>
      <w:r>
        <w:t>AC/329/2019 * * * * * PAR CES MOTIFS, LE VICE-PRÉSIDENT DE LA COUR : A la forme : Déclare recevable le recours formé par A______ contre la décision rendue le 20 novembre 2019 par le Vice-président du Tribunal civil dans la cause AC/329/2019. Au fond : Le rejette. Déboute A______ de toutes autres conclusions. Dit qu'il n'est pas perçu de frais judiciaires pour le recours, ni alloué de dépens. Notifie une copie de la présente décision à A______ en l'Étude de Me H______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octobre 2019, date à laquelle il a commencé son activité y relative.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