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DAAJ/165/2021 vom 23. Juni 2021</w:t>
      </w:r>
    </w:p>
    <w:p>
      <w:r>
        <w:t>GE Cour de justice, 2021-06-23, FR</w:t>
      </w:r>
    </w:p>
    <w:p>
      <w:r>
        <w:rPr>
          <w:b/>
        </w:rPr>
        <w:t xml:space="preserve">Quelle: </w:t>
      </w:r>
      <w:r>
        <w:t>https://mcp.opencaselaw.ch/entscheid/ge_gerichte_DAAJ_165_2021</w:t>
      </w:r>
    </w:p>
    <w:p>
      <w:r>
        <w:t>FR: GE_GERICHTE DAAJ/165/2021 du 23 juin 2021</w:t>
      </w:r>
    </w:p>
    <w:p>
      <w:r>
        <w:t>IT: GE_GERICHTE DAAJ/165/2021 del 23 giugno 2021</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t>- 4/8 -</w:t>
      </w:r>
    </w:p>
    <w:p>
      <w:r>
        <w:t>AC/3013/2020</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2e éd. 2020,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Le 1er janvier 2019 est entrée en vigueur une modification de la loi sur les étrangers du 16 décembre 2005 (LEtr), devenue la loi sur les étrangers et l'intégration du 16 décembre 2005 (LEI - RS 142.20), et de l'ordonnance relative à l'admission, au</w:t>
      </w:r>
    </w:p>
    <w:p>
      <w:r>
        <w:t>- 5/8 -</w:t>
      </w:r>
    </w:p>
    <w:p>
      <w:r>
        <w:t>AC/3013/2020 séjour et à l'exercice d'une activité lucrative du 24 octobre 2007 (OASA - RS 142.201). Conformément à la jurisprudence du Tribunal fédéral, les demandes déposées avant le 1er janvier 2019 sont régies par l'ancien droit (arrêt du Tribunal fédéral 2C_1075/2019 du 21 avril 2020 consid. 1.1), étant précisé que la plupart des dispositions de la LEI sont demeurées identiques.</w:t>
      </w:r>
    </w:p>
    <w:p>
      <w:r>
        <w:rPr>
          <w:b/>
        </w:rPr>
        <w:t>E. 3.3</w:t>
      </w:r>
    </w:p>
    <w:p>
      <w:r>
        <w:t>Selon l’art. 42 al. 2 LEI,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de moins de 21 ans ou dont l’entretien est garanti (let. a), ainsi que les ascendants du ressortissant suisse ou de son conjoint dont l’entretien est garanti (let. b). Le Tribunal fédéral a déjà eu à maintes reprises l'occasion de se prononcer sur la problématique de l’éventuelle discrimination des ressortissants suisses ressortant de l'art. 42 al. 2 LEI. Il a ainsi notamment considéré qu’il existait des motifs suffisants, non discriminatoires au regard de l’art. 14 CEDH, qui justifiaient de traiter les ressortissants suisses différemment des ressortissants communautaires en matière de regroupement familial (arrêts du Tribunal fédéral 2C_836/2019 du 18 mars 2020 consid. 2; 2C_388/2017 du 8 mai 2017 consid. 5.2; 2C_438/2015 du 29 octobre 2015 consid. 3.2; 2C_1188/2012 du 17 avril 2013 consid. 5.3; 2C_354/2011 du 13 juillet 2012 consid. 2.7.3). Si le législateur était d'avis qu'il fallait mener une politique d'immigration restrictive et qu'il posait des limites à cet effet là où il disposait d'une marge de manœuvre prévue par le droit conventionnel, le Tribunal fédéral ne pouvait se substituer à lui (arrêts du Tribunal fédéral 2C_836/2019 précité consid. 2; 2C 388/2017 précité consid. 5.2).</w:t>
      </w:r>
    </w:p>
    <w:p>
      <w:r>
        <w:rPr>
          <w:b/>
        </w:rPr>
        <w:t>E. 3.4</w:t>
      </w:r>
    </w:p>
    <w:p>
      <w:r>
        <w:t>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ATA/522/2021 du 18 mai 2021 consid. 11). Les relations familiales qui peuvent fonder, en vertu de l'art. 8 par.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2C_325/2019 du 3 février 2020 consid. 2.2.4 et 2C_251/2015 du 24 mars 2015 consid. 3).</w:t>
      </w:r>
    </w:p>
    <w:p>
      <w:r>
        <w:t>- 6/8 -</w:t>
      </w:r>
    </w:p>
    <w:p>
      <w:r>
        <w:t>AC/3013/2020 Le Tribunal fédéral a déjà eu l’occasion de relever qu'une dépendance uniquement financière ne suffisait pas pour que la relation entre un parent et son enfant majeur tombe dans le champ d'application de l'art. 8 CEDH (arrêt du Tribunal fédéral 2C_155/2019 du 14 mars 2019 consid. 7.5).</w:t>
      </w:r>
    </w:p>
    <w:p>
      <w:r>
        <w:rPr>
          <w:b/>
        </w:rPr>
        <w:t>E. 3.5</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rPr>
          <w:b/>
        </w:rPr>
        <w:t>E. 3.6</w:t>
      </w:r>
    </w:p>
    <w:p>
      <w:r>
        <w:t>A titre préalable, il convient de relever que la présente demande d'assistance juridique est liée à la rédaction d'observations à propos d'un projet de décision de l'OCPM – étant relevé que ladite décision a été rendue depuis lors −, la recourante ayant pour le surplus déposé une nouvelle demande d'assistance juridique en lien avec son recours au TAPI contre la décision rendue par l’OCPM le 21 juin 2021. En l'espèce, la recourante n’apparaît pas pouvoir se prévaloir d’un droit à obtenir une autorisation de séjour au sens de l’art. 42 al. 2 let. b LEtr, cette disposition ne s’appliquant pas dans son cas puisqu’elle est originaire du Kosovo, pays avec lequel la Suisse n’a pas conclu d’accord sur la libre circulation des personnes. S'agissant du grief fondé sur la discrimination à rebours de l'art. 42 LEtr, le Tribunal fédéral s'est à maintes reprises prononcé sur cette question et l’a rejeté, au motif notamment qu’il ne pouvait se substituer au législateur. La Cour de céans ne saurait s’écarter de ce raisonnement. Pour le surplus, si le Conseil national a décidé, le 8 juin 2021, de donner suite à l'initiative parlementaire 19.464 d'Angelo Barrile visant précisément à écarter la discrimination subie par les ressortissants suisses, le Conseil des États ne s'est pas encore prononcé et aucun projet de modification de la LEI n'a été élaboré ni, surtout, mis en vigueur. En outre, il semble, prima facie, que la recourante ne peut rien déduire de l’art. 8 CEDH, dès lors qu'elle ne se trouve pas dans un lien de dépendance particulier avec son fils majeur, hormis sur le plan financier, ce qui ne nécessite toutefois pas qu’elle demeure en Suisse. Le fait qu’elle vive actuellement chez son fils, sa belle-fille et ses petits-enfants ne remplit pas non plus la condition du lien de dépendance particulier.</w:t>
      </w:r>
    </w:p>
    <w:p>
      <w:r>
        <w:t>- 7/8 -</w:t>
      </w:r>
    </w:p>
    <w:p>
      <w:r>
        <w:t>AC/3013/2020 Enfin, comme le relève à juste titre l’autorité de première instance, la recourante ne prouve pas – ni même ne soutient – qu’elle remplirait les conditions permettant de reconnaître l'existence d'un cas d'extrême gravité. Dès lors et à première vue, l’annonce par l’OCPM de son intention de ne pas délivrer une autorisation de séjour à la recourante apparaît conforme au droit. Par conséquent et dans ces circonstances, ses démarches visant à obtenir une autorisation de séjour paraissent, a priori, dénuées de chances de succès. C'est donc de manière conforme au droit que l'Autorité de première instance a refusé d'octroyer le bénéfice de l'assistance juridique à la recourante.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w:t>
      </w:r>
    </w:p>
    <w:p>
      <w:r>
        <w:t>- 8/8 -</w:t>
      </w:r>
    </w:p>
    <w:p>
      <w:r>
        <w:t>AC/3013/2020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