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DAAJ/15/2016 vom 11. August 2015</w:t>
      </w:r>
    </w:p>
    <w:p>
      <w:r>
        <w:t>GE Cour de justice, 2015-08-11, FR</w:t>
      </w:r>
    </w:p>
    <w:p>
      <w:r>
        <w:rPr>
          <w:b/>
        </w:rPr>
        <w:t xml:space="preserve">Quelle: </w:t>
      </w:r>
      <w:r>
        <w:t>https://mcp.opencaselaw.ch/entscheid/ge_gerichte_DAAJ_15_2016</w:t>
      </w:r>
    </w:p>
    <w:p>
      <w:r>
        <w:t>FR: GE_GERICHTE DAAJ/15/2016 du 11 août 2015</w:t>
      </w:r>
    </w:p>
    <w:p>
      <w:r>
        <w:t>IT: GE_GERICHTE DAAJ/15/2016 del 11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Il comporte une motivation certes succincte, mais suffisante dans la mesure où l'on comprend les griefs en fait et en droit soulevés par la recourante contre le jugement entrepris. Par ailleurs, si la recourante n'a pas pris de conclusion formelle, on comprend qu'elle sollicite l'annulation de la décision querellée.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et les pièces nouvelles ne seront pas pris en considération.</w:t>
      </w:r>
    </w:p>
    <w:p>
      <w:r>
        <w:rPr>
          <w:b/>
        </w:rPr>
        <w:t>E. 3</w:t>
      </w:r>
    </w:p>
    <w:p>
      <w:r>
        <w:t>La recourante soutient que le montant retenu pour sa rente AI est erroné. Par ailleurs, elle reproche au Vice-président du Tribunal civil d'avoir pris en compte la rente AI de son mari, alors que qu'il en a besoin pour son activité indépendante. En outre, l'ensemble des charges liées à l'activité indépendante de celui-ci n'ont pas été prises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w:t>
      </w:r>
    </w:p>
    <w:p>
      <w:r>
        <w:t>- 4/5 -</w:t>
      </w:r>
    </w:p>
    <w:p>
      <w:r>
        <w:t>AC/2330/2015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compte tenu des pièces produites, c'est à juste titre que le premier juge a retenu que la rente AI de la recourante s'élevait à 2'082 fr. Par ailleurs, c'est à juste titre que la rente AI du mari de la recourante a été prise en considération dans les revenus du ménage. Pour le surplus, les charges de l'entreprise individuelle de celui-ci ne peuvent pas être prises en compte telles quelles dans les charges du ménage. Même si l'on tenait compte du résultat réalisé par ladite entreprise en 2014, soit une perte de 1'932 fr. (montant retenu par l'Administration fiscale), ce qui correspond à un montant mensuel de 161 fr., cela porterait les charges du ménage à 6'296 fr. 05 (6'135 fr. 05 + 161 fr.). Le ménage de la recourante dépasserait encore de plus de 620 fr. (6'919 fr. 15 – 6'296 fr. 05) le minimum vital. Par conséquent, compte tenu des faits portés à sa connaissance et des éléments en sa possession, c'est à bon droit que le premier juge a considéré que la condition de l'indigence n'était pas remplie. Partant, le recours, infondé, sera rejeté. Cela étant, la recourante a la possibilité de déposer une nouvelle requête d'assistance juridique, accompagnée de toutes les pièces justificatives relatives à sa situation financière, notamment la preuve de la diminution de sa rente AI.</w:t>
      </w:r>
    </w:p>
    <w:p>
      <w:r>
        <w:rPr>
          <w:b/>
        </w:rPr>
        <w:t>E. 4</w:t>
      </w:r>
    </w:p>
    <w:p>
      <w:r>
        <w:t>Sauf exceptions non réalisées en l'espèce, il n'est pas perçu de frais judiciaires pour la procédure d'assistance juridique (art. 119 al. 6 CPC). * * * * *</w:t>
      </w:r>
    </w:p>
    <w:p>
      <w:r>
        <w:t>- 5/5 -</w:t>
      </w:r>
    </w:p>
    <w:p>
      <w:r>
        <w:t>AC/2330/2015 PAR CES MOTIFS, LE VICE-PRÉSIDENT DE LA COUR : A la forme : Déclare recevable le recours formé par A______ contre la décision rendue le 11 août 2015 par le Vice-président du Tribunal civil dans la cause AC/2330/2015.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