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DAAJ/152/2021 vom 26. Juli 2021</w:t>
      </w:r>
    </w:p>
    <w:p>
      <w:r>
        <w:t>GE Cour de justice, 2021-07-26, FR</w:t>
      </w:r>
    </w:p>
    <w:p>
      <w:r>
        <w:rPr>
          <w:b/>
        </w:rPr>
        <w:t xml:space="preserve">Quelle: </w:t>
      </w:r>
      <w:r>
        <w:t>https://mcp.opencaselaw.ch/entscheid/ge_gerichte_DAAJ_152_2021</w:t>
      </w:r>
    </w:p>
    <w:p>
      <w:r>
        <w:t>FR: GE_GERICHTE DAAJ/152/2021 du 26 juillet 2021</w:t>
      </w:r>
    </w:p>
    <w:p>
      <w:r>
        <w:t>IT: GE_GERICHTE DAAJ/152/2021 del 26 luglio 2021</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w:t>
      </w:r>
    </w:p>
    <w:p>
      <w:r>
        <w:t>- 3/6 -</w:t>
      </w:r>
    </w:p>
    <w:p>
      <w:r>
        <w:t>AC/2144/2021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(sous réserve de l'information donnée au sujet de la nouvelle adresse de notification pour la présente décision) ne seront pas pris en considération.</w:t>
      </w:r>
    </w:p>
    <w:p>
      <w:r>
        <w:rPr>
          <w:b/>
        </w:rPr>
        <w:t>E. 3.1.1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w:t>
      </w:r>
    </w:p>
    <w:p>
      <w:r>
        <w:t>- 4/6 -</w:t>
      </w:r>
    </w:p>
    <w:p>
      <w:r>
        <w:t>AC/2144/2021 production de titres, conformément à l'art. 254 al. 1 CPC. La preuve n'est pas facilitée :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141 III 23 consid. 3.2; 138 III 620 consid. 5.1.1 et les arrêts cités). La situation juridique est claire lorsque l'application de la norme au cas concret s'impose de façon évidente au regard du texte légal ou sur la base d'une doctrine et d'une jurisprudence éprouvées (ATF 138 III 123 consid. 2.1.2, 620 consid. 5.1.1, 728 consid. 3.3). En règle générale (cf. toutefois arrêt du Tribunal fédéral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 La référence à l'exercice d'un certain pouvoir d'appréciation ne permet cependant pas d'exclure l'existence d'un cas clair lorsque l'interdiction de l'abus de droit est invoquée. Une telle appréciation n'est en effet pas nécessaire en présence d'un comportement manifestement abusif, appartenant aux cas reconnus typiquement comme tels par la jurisprudence et la doctrine (arrêt du Tribunal fédéral 4A_350/2015 du 25 août 2015 consid. 4.2 et les références). La protection dans les cas clairs devrait être refusée lorsque le créancier réclame une indemnité dont la fixation dépend des circonstances. Dans un tel cas, seule une procédure ordinaire devrait permettre au juge de disposer des éléments lui permettant d'utiliser son pouvoir d'appréciation à bon escient (BONHET, Commentaire romand, Code de procédure civile, 2019, n. 4 ad art. 257 CPC et la référence citée).</w:t>
      </w:r>
    </w:p>
    <w:p>
      <w:r>
        <w:rPr>
          <w:b/>
        </w:rPr>
        <w:t>E. 3.2</w:t>
      </w:r>
    </w:p>
    <w:p>
      <w:r>
        <w:t>En l'espèce, tant les questions de la violation du contrat invoquée par le recourant que de l'existence même d'un dommage ou en tout cas l'ampleur de celui-ci requièrent une appréciation du tribunal, impliquant que l'ensemble des circonstances soient prises en considération. Il paraît donc, prima facie, peu probable que l'action en paiement formée par le recourant par la voie du cas clair soit recevable. La décision de l'autorité de première instance qui refuse d'octroyer l'assistance juridique au recourant au motif que sa cause paraît dépourvue de chances de succès est dès lors conforme au droit (et ne viole en particulier pas les art. 6 et 13 CEDH) et dénuée d'arbitraire, étant relevé que le handicap dont souffre celui-ci n'est pas susceptible de remettre en cause ce qui précède. Partant, le recours, infondé, sera rejeté.</w:t>
      </w:r>
    </w:p>
    <w:p>
      <w:r>
        <w:t>- 5/6 -</w:t>
      </w:r>
    </w:p>
    <w:p>
      <w:r>
        <w:t>AC/2144/2021 A noter que si le juge saisi du litige au fond décidait de faire application de l'art. 69 al. 1 CPC du fait que le recourant se trouverait durablement empêché d'agir personnellement pour raison de santé, les frais du représentant ordonné par le tribunal seraient en principe à la charge de la partie représentée, sous réserve du droit à l'assistance judiciaire (arrêt du Tribunal fédéral 5A_830/2013 du 3 avril 2014 consid. 1.4), dont les conditions ne sont pas réalisées, comme il a été constaté ci-dessus.</w:t>
      </w:r>
    </w:p>
    <w:p>
      <w:r>
        <w:rPr>
          <w:b/>
        </w:rPr>
        <w:t>E. 4</w:t>
      </w:r>
    </w:p>
    <w:p>
      <w:r>
        <w:t>Sauf exceptions non réalisées en l'espèce, il n'est pas perçu de frais judiciaires pour la procédure d'assistance juridique (art. 119 al. 6 CPC). * * * * *</w:t>
      </w:r>
    </w:p>
    <w:p>
      <w:r>
        <w:t>- 6/6 -</w:t>
      </w:r>
    </w:p>
    <w:p>
      <w:r>
        <w:t>AC/2144/2021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