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DAAJ/147/2024 vom 26. August 2024</w:t>
      </w:r>
    </w:p>
    <w:p>
      <w:r>
        <w:t>GE Cour de justice, 2024-08-26, FR</w:t>
      </w:r>
    </w:p>
    <w:p>
      <w:r>
        <w:rPr>
          <w:b/>
        </w:rPr>
        <w:t xml:space="preserve">Quelle: </w:t>
      </w:r>
      <w:r>
        <w:t>https://mcp.opencaselaw.ch/entscheid/ge_gerichte_DAAJ_147_2024</w:t>
      </w:r>
    </w:p>
    <w:p>
      <w:r>
        <w:t>FR: GE_GERICHTE DAAJ/147/2024 du 26 août 2024</w:t>
      </w:r>
    </w:p>
    <w:p>
      <w:r>
        <w:t>IT: GE_GERICHTE DAAJ/147/2024 del 26 agosto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- 5/8 -</w:t>
      </w:r>
    </w:p>
    <w:p>
      <w:r>
        <w:t>AC/1189/2024 recourant de motiver en droit son recours et de démontrer l'arbitraire des faits retenus par l'instance inférieure (HOHL, Procédure civile, tome II, 2ème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En vertu de l'art. 731b al. 1bis ch. 2 CO, en cas de carence dans l'organisation de la société, le tribunal peut notamment nommer l'organe qui fait défaut ou un commissaire.</w:t>
      </w:r>
    </w:p>
    <w:p>
      <w:r>
        <w:t>Si le tribunal nomme l'organe qui fait défaut ou un commissaire, il détermine la durée pour laquelle la nomination est valable; qu'il astreint la société à supporter les frais et à verser une provision aux personnes nommées (art. 731b al. 2 CO). La décision de désigner un commissaire à une société aux fins de la représenter dans une procédure est une décision incidente sur mesures provisionnelles (arrêt du Tribunal fédéral 4A_234/2023 du 8 août 2023 consid. 1.1)</w:t>
      </w:r>
    </w:p>
    <w:p>
      <w:r>
        <w:t>- 6/8 -</w:t>
      </w:r>
    </w:p>
    <w:p>
      <w:r>
        <w:t>AC/1189/2024 Le versement d'une provision pour les frais et honoraires du commissaire (art. 731b al. 2 CO) sous peine de dissolution, est une mesure qui permet d'empêcher que la nomination du commissaire échoue pratiquement, du fait que la société bloquée ne verse pas la provision pour le mandant correspondant (ATF 138 III 294 consid. 3.3.1; arrêts du Tribunal fédéral 4A_4/2013 du 13 mai 2013 consid. 3.2 et 4A_411/2012 du 22 novembre 2012 consid. 2.2.3). Une telle procédure permet au tribunal de dissoudre directement la société après l'expiration du délai non utilisé, sans être renvoyé à une nouvelle requête du préposé au registre du commerce, d'un associé ou d'un créancier. Cela permet de tenir compte à la fois du principe de proportionnalité et de l'économie de procédure (arrêt précité 4A_411/2012 consid. 2.2.3).</w:t>
      </w:r>
    </w:p>
    <w:p>
      <w:r>
        <w:rPr>
          <w:b/>
        </w:rPr>
        <w:t>E. 2.1.3</w:t>
      </w:r>
    </w:p>
    <w:p>
      <w:r>
        <w:t>A teneur de l'art. 741 al. 2 CO, à la requête d'un actionnaire et s'il existe de justes motifs, le tribunal peut évoquer des liquidateurs et, au besoin, en nommer d'autres. L'art. 741 al. 2 CO a pour but de protéger les intérêts de la minorité. Par justes motifs, il faut entendre doutes circonstances des quelles on peut déduire objectivement que la liquidation ne sera pas exécutée de manière régulière, de telle sorte que les intérêts des actionnaires et de la société pourraient être mis en péril ou lésés. Il peut s'agir par exemple de l'incapacité d'un liquidateur, de sa négligence, de son absence, de son manque de probité ou encore de sa dépendance prévisible à l'égard d'une majorité qui prendrait des décisions abusives. Il peut aussi y avoir un juste motif lorsqu'un liquidateur occupe une double fonction, par exemple liquidateur de la société dissoute et administrateur d'une société nouvellement créée qui doit reprendre les valeurs patrimoniales de l'ancienne société ou s'il est en conflit avec un actionnaire ou un groupe d'actionnaires. A l'instar d'un administrateur, le liquidateur dispose d'une marge de manœuvre étendue, qui est toutefois limitée par le fait qu'il doit garantir les intérêts de la société, et non agir dans son propre intérêt ou dans celui d'actionnaires déterminés ou de tiers. L'art. 717 CO lui est applicable, de sorte qu'il doit veiller à un traitement égal de tous les actionnaires. Le respect de cette exigence pose problème en cas de conflit d'intérêts (ATF 132 III 758 consid. 3.3).</w:t>
      </w:r>
    </w:p>
    <w:p>
      <w:r>
        <w:rPr>
          <w:b/>
        </w:rPr>
        <w:t>E. 2.2</w:t>
      </w:r>
    </w:p>
    <w:p>
      <w:r>
        <w:t>En l'espèce, les griefs formulés par la recourante dans le cadre du présent recours se rapportent essentiellement à l'ordonnance rendue par le Tribunal le 18 janvier 2024, de sorte qu'ils sont exorbitants à la présente procédure. En soit, il n'est pas contesté que l'absence de paiement de la provision requise pour les frais et honoraires du commissaire désigné pour représenter la société avait pour conséquence de conduire à une décision de dissolution de ladite société. La recourante n'invoque aucun élément permettant de remettre en cause la validité de la décision sur ce point. Par ailleurs, la recourante ne rend pas vraisemblable que le liquidateur nommé se trouverait dans une situation de conflit d'intérêts, étant relevé que dans les faits, il n'a jamais exercé la fonction de commissaire de la société.</w:t>
      </w:r>
    </w:p>
    <w:p>
      <w:r>
        <w:t>- 7/8 -</w:t>
      </w:r>
    </w:p>
    <w:p>
      <w:r>
        <w:t>AC/1189/2024 C'est donc à juste titre que l'autorité de première instance a rejeté la requête d'aide étatique de la recourante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- 8/8 -</w:t>
      </w:r>
    </w:p>
    <w:p>
      <w:r>
        <w:t>AC/1189/2024 PAR CES MOTIFS, LA VICE-PRÉSIDENTE DE LA COUR :</w:t>
      </w:r>
    </w:p>
    <w:p>
      <w:r>
        <w:t>A la forme : Déclare recevable le recours formé le 9 septembre 2024 par A______ contre la décision rendue le 26 août 2024 par la vice-présidence du Tribunal civil dans la cause AC/1189/2024.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