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DAAJ/137/2023 vom 14. September 2023</w:t>
      </w:r>
    </w:p>
    <w:p>
      <w:r>
        <w:t>GE Cour de justice, 2023-09-14, FR</w:t>
      </w:r>
    </w:p>
    <w:p>
      <w:r>
        <w:rPr>
          <w:b/>
        </w:rPr>
        <w:t xml:space="preserve">Quelle: </w:t>
      </w:r>
      <w:r>
        <w:t>https://mcp.opencaselaw.ch/entscheid/ge_gerichte_DAAJ_137_2023</w:t>
      </w:r>
    </w:p>
    <w:p>
      <w:r>
        <w:t>FR: GE_GERICHTE DAAJ/137/2023 du 14 septembre 2023</w:t>
      </w:r>
    </w:p>
    <w:p>
      <w:r>
        <w:t>IT: GE_GERICHTE DAAJ/137/2023 del 14 settembre 2023</w:t>
      </w:r>
    </w:p>
    <w:p>
      <w:pPr>
        <w:pStyle w:val="Heading2"/>
      </w:pPr>
      <w:r>
        <w:t>Erwägungen</w:t>
      </w:r>
    </w:p>
    <w:p>
      <w:r>
        <w:rPr>
          <w:b/>
        </w:rPr>
        <w:t>E. 1.1.1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doit être introduit auprès de l'instance de recours (art. 321 al. 1 CPC) dans un délai de dix jours (art. 321 al. 2 CPC et 11 RAJ).</w:t>
      </w:r>
    </w:p>
    <w:p>
      <w:r>
        <w:rPr>
          <w:b/>
        </w:rPr>
        <w:t>E. 1.1.2</w:t>
      </w:r>
    </w:p>
    <w:p>
      <w:r>
        <w:t>Selon l'art. 238 let. f CPC, la décision contient l'indication des voies de droit si les parties n'ont pas renoncé à recourir.</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138 I 49 consid. 8.3.1; 136 I 254 consid. 5.2; 135 IV 212 consid. 2.6). On déduit du principe de la bonne foi que les parties ne doivent subir aucun préjudice en raison d'une indication inexacte des voies de droit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la voie de droit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(ATF 141 III 270 consid. 3.3; arrêt du Tribunal fédéral 5A_1017/2018 du 1er avril 2019 consid. 1.2.2.1).</w:t>
      </w:r>
    </w:p>
    <w:p>
      <w:r>
        <w:rPr>
          <w:b/>
        </w:rPr>
        <w:t>E. 1.2</w:t>
      </w:r>
    </w:p>
    <w:p>
      <w:r>
        <w:t>En l'espèce, la décision entreprise a indiqué par erreur un délai de recours de 30 jours, au lieu de celui de 10 jours et le recours a été formé au-delà des 10 jours de la réception de la décision en cause, mais encore dans le délai de 30 jours.</w:t>
      </w:r>
    </w:p>
    <w:p>
      <w:r>
        <w:t>Le recourant, retraité, est, a priori, profane en droit, puisque le but de sa démarche est d'obtenir l'assistance juridique afin d'être conseillé en matière de divorce.</w:t>
      </w:r>
    </w:p>
    <w:p>
      <w:r>
        <w:t>- 4/7 -</w:t>
      </w:r>
    </w:p>
    <w:p>
      <w:r>
        <w:t>AC/1912/2023</w:t>
      </w:r>
    </w:p>
    <w:p>
      <w:r>
        <w:t>La question de savoir s'il aurait pu se rendre compte de l'inexactitude du délai pour former le recours en lisant le CPC, en particulier l'art. 321 al. 1 et al. 2 CPC qui ne sont pas mentionnés dans l'indication de la voie de droit de la décision en cause, peut demeurer indécise en l'espèce, dès lors que le recours est, en tout état de cause, infondé.</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w:t>
      </w:r>
    </w:p>
    <w:p>
      <w:r>
        <w:t>- 5/7 -</w:t>
      </w:r>
    </w:p>
    <w:p>
      <w:r>
        <w:t>AC/1912/2023 de manière suffisante des données individuelles du cas d'espèce (ATF 141 III 369 consid. 4.1; ATF 124 I 1 consid. 2a).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2.2</w:t>
      </w:r>
    </w:p>
    <w:p>
      <w:r>
        <w:t>Les Normes d'insaisissabilité pour l'année 2023 (NI-2023) prévoient que le montant de base mensuel pour un débiteur vivant seul est de 1'200 fr. (ch. I. 1); il est de 1'350 fr. pour un débiteur monoparental (ch. I. 2) et de 1'700 fr. pour un couple marié, deux personnes vivant en partenariat enregistré ou un couple avec des enfants (ch. I. 3).</w:t>
      </w:r>
    </w:p>
    <w:p>
      <w:r>
        <w:t>Si le partenaire d'un débiteur vivant sans enfant en colocation ou en communauté de vie réduisant les coûts dispose également de revenus, il convient d'appliquer le montant de base défini pour le couple marié et, en règle générale, de le réduire (au maximum) à la moitié (NI_2023, ch. I; cf. ATF 130 III 765 consid. 2.4; arrêt du Tribunal fédéral 5A_827/2022 du 16 mai 2023 consid. 5.3.1).</w:t>
      </w:r>
    </w:p>
    <w:p>
      <w:r>
        <w:t>La prise en compte d'un tel montant de base suppose l'existence d'une communauté de vie fondée sur un partenariat. Le ménage commun formé par exemple par l'épouse et ses deux fils majeurs n'entre pas dans cette catégorie (ATF 144 III 502 consid. 6.6; 132 III 483 consid. 4.2; arrêts du Tribunal fédéral 5A_827/2022 du 16 mai 2023 consid. 5.3; arrêt 5A_6/2019 du 3 juillet 2019 consid. 4.4).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(ATF 144 III 502 consid. 6.6; 132 III 483 consid. 4.2, 4.3 et 5, in JdT 2007 II 78). Aucune participation au loyer ne devrait toutefois être retenue pour un enfant majeur devant s'entretenir seul avec un salaire de 1'000 fr. (arrêt du Tribunal fédéral 5C.45/2006 du 15 mars 2006 consid. 3.6; ACJC/1241/2023 du 21 septembre 2023 consid. 3.1.7; BASTONS BULLETTI, L'entretien après le divorce : Méthodes de calcul, montant, durée et limites, in SJ 2007 II 77, p. 88).</w:t>
      </w:r>
    </w:p>
    <w:p>
      <w:r>
        <w:rPr>
          <w:b/>
        </w:rPr>
        <w:t>E. 2.3</w:t>
      </w:r>
    </w:p>
    <w:p>
      <w:r>
        <w:t>En l'espèce, le recourant forme une communauté de vie avec son fils majeur, lequel est indépendant financièrement et perçoit un revenu annuel de l'ordre de 60'000 fr. à 70'000 fr., soit au moins 5'000 fr. par mois, de sorte qu'en application de la jurisprudence sus-évoquée, il est équitable que le montant du loyer du logement soit</w:t>
      </w:r>
    </w:p>
    <w:p>
      <w:r>
        <w:t>- 6/7 -</w:t>
      </w:r>
    </w:p>
    <w:p>
      <w:r>
        <w:t>AC/1912/2023 partagé à parts égales entre le recourant et son fils, soit une charge mensuelle de 897 fr. chacun, que la vice-présidence du Tribunal civil a retenue avec raison. Ensuite, même en portant la base mensuelle d'entretien du recourant à 1'350 fr. parce qu'il vit avec son fils sans que ce soit assimilable à un partenariat, le recourant dispose encore des moyens financiers pour rémunérer les conseils d'un avocat afin de se déterminer s'il envisage ou non de former une action en divorce. En effet, le disponible du recourant est de 873 fr. selon un calcul du minimum vital strict (3'126 fr. – [base mensuelle d'entretien : 1'350 fr. + moitié du loyer : 897 fr. + TPG : 6 fr.)] respectivement de 535 fr. après augmentation de 25% de sa base mensuelle d'entretien (3'126 fr. – [1'350 fr. + 25% = 1'688 fr. + 897 fr. + 6 fr.)]. Il s'ensuit que c'est avec raison que la vice-présidence du Tribunal civil rejeté la requête d'assistance juridique pour des démarches extrajudiciaires pour des conseils dans la perspective d'une procédure de divorce, puisque le recourant ne remplit pas la condition d'indigence. Au vu de ce qui précède, le recours sera rejeté, dans la mesure de sa recevabilité.</w:t>
      </w:r>
    </w:p>
    <w:p>
      <w:r>
        <w:rPr>
          <w:b/>
        </w:rPr>
        <w:t>E. 3</w:t>
      </w:r>
    </w:p>
    <w:p>
      <w:r>
        <w:t>Sauf exceptions non réalisées en l'espèce, il n'est pas perçu de frais judiciaires pour la procédure d'assistance juridique (art. 119 al. 6 CPC). Il n'y a pas lieu à l'octroi de dépens. * * * * *</w:t>
      </w:r>
    </w:p>
    <w:p>
      <w:r>
        <w:t>- 7/7 -</w:t>
      </w:r>
    </w:p>
    <w:p>
      <w:r>
        <w:t>AC/1912/2023 PAR CES MOTIFS, LA VICE-PRÉSIDENTE DE LA COUR : Rejette, dans la mesure de sa recevabilité, le recours formé par A______ contre la décision rendue le 14 septembre 2023 par la vice-présidence du Tribunal civil dans la cause AC/1912/2023.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