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DAAJ/135/2025 vom 18. August 2025</w:t>
      </w:r>
    </w:p>
    <w:p>
      <w:r>
        <w:t>GE Cour de justice, 2025-08-18, FR</w:t>
      </w:r>
    </w:p>
    <w:p>
      <w:r>
        <w:rPr>
          <w:b/>
        </w:rPr>
        <w:t xml:space="preserve">Quelle: </w:t>
      </w:r>
      <w:r>
        <w:t>https://mcp.opencaselaw.ch/entscheid/ge_gerichte_DAAJ_135_2025</w:t>
      </w:r>
    </w:p>
    <w:p>
      <w:r>
        <w:t>FR: GE_GERICHTE DAAJ/135/2025 du 18 août 2025</w:t>
      </w:r>
    </w:p>
    <w:p>
      <w:r>
        <w:t>IT: GE_GERICHTE DAAJ/135/2025 del 18 agosto 2025</w:t>
      </w:r>
    </w:p>
    <w:p>
      <w:pPr>
        <w:pStyle w:val="Heading2"/>
      </w:pPr>
      <w:r>
        <w:t>Erwägungen</w:t>
      </w:r>
    </w:p>
    <w:p>
      <w:r>
        <w:rPr>
          <w:b/>
        </w:rPr>
        <w:t>E. 1.1</w:t>
      </w:r>
    </w:p>
    <w:p>
      <w:r>
        <w:t>La décision entreprise est sujette à recours auprès de la présidence de la Cour de justice en tant qu'elle met un terme à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- 9/14 -</w:t>
      </w:r>
    </w:p>
    <w:p>
      <w:r>
        <w:t>AC/2149/2024</w:t>
      </w:r>
    </w:p>
    <w:p>
      <w:r>
        <w:rPr>
          <w:b/>
        </w:rPr>
        <w:t>E. 2</w:t>
      </w:r>
    </w:p>
    <w:p>
      <w:r>
        <w:t>Aux termes de l'art. 326 al. 1 CPC, les allégations de faits et les preuves nouvelles sont irrecevables dans le cadre d'un recours. En l’espèce, le courrier du conseil du recourant du 12 août 2025 au Tribunal, bien qu’il soit antérieur à la décision entreprise, est néanmoins irrecevable, car il n’a pas été soumis à l’Autorité de première instance. Ensuite, la plainte du recourant du 22 août 2025 à la Commission de surveillance des avocats et ses courriers des 28 et 29 août 2025 sont postérieurs à la décision entreprise, de sorte qu’ils sont irrecevables.</w:t>
      </w:r>
    </w:p>
    <w:p>
      <w:r>
        <w:rPr>
          <w:b/>
        </w:rPr>
        <w:t>E. 3</w:t>
      </w:r>
    </w:p>
    <w:p>
      <w:r>
        <w:t>Le recourant fait valoir une erreur manifeste « de l’AJ » parce que, nonobstant la relève de son conseil par courrier du 6 août 2025 adressé au GAJ, une copie de la décision du 18 août 2025 lui avait été néanmoins adressée. Cette « contradiction témoign[ait] d’une défaillance administrative qui [devait] être corrigée afin d’éviter toute confusion sur [sa] représentation ». Il a exprimé vouloir rembourser l’assistance juridique de manière échelonnée, même s’il subissait des saisies et était réduit au minimum vital, précisant que son recours ne concernait pas un refus de payer, mais visait la garantie de son droit à une défense effective. Il reproche à l’Autorité de première instance d’avoir surinterprété sa démarche du 6 août 2025 comme renonciation définitive de l’assistance juridique, tandis qu’il s’agissait « une suspension de précaution dans un contexte de défense déficiente ». Il fait valoir une violation des art. 6 CEDH et 29 Cst car l’Autorité de première instance l’exposait à un risque disproportionné de privation d’accès au juge, par l’assimilation de la suspension requise à une renonciation définitive, cumulée à un avertissement dissuasif. « Les manquements objectifs de [ses] conseils successifs démontr[aient qu’il n’avait] pas abusé du système, mais subi des défaillances systémiques ». Sa plainte en cours à la Commission de surveillance des avocats « confirm[ait] la réalité de ces manquements ». Enfin, « le principe de proportionnalité command[ait] de constater une suspension temporaire et de supprimer l’avertissement, afin de préserver [son] droit de solliciter à nouveau l’AJ si la situation l’exig[eait] ».</w:t>
      </w:r>
    </w:p>
    <w:p>
      <w:r>
        <w:rPr>
          <w:b/>
        </w:rPr>
        <w:t>E. 3.1.1</w:t>
      </w:r>
    </w:p>
    <w:p>
      <w:r>
        <w:t>Selon l’art. 29 al. 3 Cst, dont les garanties sont équivalentes à celles de l’art. 6 par 1 CEDH,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- 10/14 -</w:t>
      </w:r>
    </w:p>
    <w:p>
      <w:r>
        <w:t>AC/2149/2024 Selon l’art. 29a Cst, toute personne a droit à ce que sa cause soit jugée par une autorité judiciaire. La Confédération et les cantons peuvent, par la loi, exclure l’accès au juge dans des cas exceptionnels. L'assistance judiciaire a pour but de garantir l'accès à la justice, pour autant que ses conditions d’octroi soient réalisées (arrêt du Tribunal fédéral 2C_146/2025 du 13 mai 2025 consid. 6).</w:t>
      </w:r>
    </w:p>
    <w:p>
      <w:r>
        <w:rPr>
          <w:b/>
        </w:rPr>
        <w:t>E. 3.1.2</w:t>
      </w:r>
    </w:p>
    <w:p>
      <w:r>
        <w:t>Selon l'art. 118 al. 1 let. c 1ère phrase CPC, l'assistance judiciaire comprend la commission d'office d'un conseil juridique par le tribunal lorsque la défense des droits du requérant l'exige, en particulier lorsque la partie adverse est assistée d'un avocat.</w:t>
      </w:r>
    </w:p>
    <w:p>
      <w:r>
        <w:t>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 DAAJ/140/2023 du 22 décembre 2023 consid.2.1.1).</w:t>
      </w:r>
    </w:p>
    <w:p>
      <w:r>
        <w:rPr>
          <w:b/>
        </w:rPr>
        <w:t>E. 3.1.3</w:t>
      </w:r>
    </w:p>
    <w:p>
      <w:r>
        <w:t>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DAAJ/140/2023 du 22 décembre 2023 consid. 2.1.4).</w:t>
      </w:r>
    </w:p>
    <w:p>
      <w:r>
        <w:t>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- 11/14 -</w:t>
      </w:r>
    </w:p>
    <w:p>
      <w:r>
        <w:t>AC/2149/2024 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t>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(DAAJ/82/2023 du 25 août 2023 consid. 3.1; DAAJ/50/2023 du 30 mai 2023 consid. 2.1.2; DAAJ/75/2022 du 31 août 2022 consid. 3.1.2; DAAJ/3/2022 du 13 janvier 2022 consid. 3.1, DAAJ/130/2017 du</w:t>
      </w:r>
    </w:p>
    <w:p>
      <w:r>
        <w:rPr>
          <w:b/>
        </w:rPr>
        <w:t>E. 3.2.1</w:t>
      </w:r>
    </w:p>
    <w:p>
      <w:r>
        <w:t>En l’espèce, l’Autorité de recours ne peut pas accorder l’assistance juridique au recourant à l’appui de son recours, car il lui incombait de solliciter auprès du GAJ un nouvel octroi d'assistance juridique à cette fin, ce qu'il n'a pas fait.</w:t>
      </w:r>
    </w:p>
    <w:p>
      <w:r>
        <w:rPr>
          <w:b/>
        </w:rPr>
        <w:t>E. 3.2.2</w:t>
      </w:r>
    </w:p>
    <w:p>
      <w:r>
        <w:t>L’Autorité de première instance avait avisé le dernier conseil du recourant de sa désignation d’office par la communication d’une copie de sa décision du 6 mars 2025 adressée au recourant. Par conséquent, nonobstant la déclaration du recourant de relever son conseil de son mandat, il était nécessaire que l’Autorité de première instance l’avise de la fin de son mandat, en lui communiquant sa décision du 18 août 2025 relative au terme de l’assistance juridique.</w:t>
      </w:r>
    </w:p>
    <w:p>
      <w:r>
        <w:t>- 12/14 -</w:t>
      </w:r>
    </w:p>
    <w:p>
      <w:r>
        <w:t>AC/2149/2024 Il n’y a donc ni erreur manifeste, ni défaillance administrative et l’Autorité de première instance a bien compris le refus du recourant d’être représenté par son dernier conseil.</w:t>
      </w:r>
    </w:p>
    <w:p>
      <w:r>
        <w:rPr>
          <w:b/>
        </w:rPr>
        <w:t>E. 3.2.3</w:t>
      </w:r>
    </w:p>
    <w:p>
      <w:r>
        <w:t>Il convient d’examiner si le recourant a ou non respecté les réquisits de l’assistance juridique, ce qui déterminera l’existence ou non d’une violation de l’accès au juge. Au vu des nombreux reproches du recourant à l’endroit de son dernier conseil, il lui appartenait de s’adresser à l’Autorité de première instance pour solliciter un changement d’avocat et non pas déclarer qu’il avait mis un terme à sa collaboration avec l’avocate désignée d’office, puisque le mandat en cause n’est pas un contrat privé résiliable en tout temps, puisqu’il concerne l’exécution d’une mission conférée par l’Autorité de première instance à l’avocate désignée d’office. Si le recourant avait requis un changement d’avocat, l’Autorité de première instance aurait demandé à son conseil de se déterminer sur les griefs en cause, afin de se forger une opinion sur l’existence ou non de justes motifs et décidé en connaissance de cause si un changement d’avocat se justifiait au regard de l’art. 14 RAJ et de la jurisprudence y relative. Or, quand bien même le recourant avait régulièrement informé le GAJ sur ses difficultés avec son conseil, il n’était en tout état de cause pas fondé à précipiter le terme du mandat et priver ainsi l’Autorité de première instance d’examiner le bien-fondé d’un changement d’avocat. En plaçant ainsi l’Autorité de première instance devant le fait accompli, celle-ci était, par conséquent, en droit de décider que le recourant renonçait à l’assistance juridique pour la procédure civile en cours par-devant le Tribunal, sans lui désigner de nouveau conseil, avec pour conséquence qu’il doive poursuivre la procédure en assumant, le cas échéant, lui-même la rémunération d’un nouveau conseil. Il s’ensuit que le recourant n’a pas été privé d’un accès au juge, puisqu’il dispose encore de la possibilité de s’adresser personnellement au Tribunal, c’est-à-dire sans que ce soit aux conditions de l’assistance juridique, puisqu’il a lui-même décidé de ne plus être représenté par le conseil désigné d’office. La décision de l’Autorité de première instance n’a pas été prise en violation du droit, s’agissant notamment du principe de proportionnalité, mais dans le respect des dispositions légales, réglementaires et jurisprudentielles applicables à l’assistance juridique et au changement de conseil. Pour le surplus, le dossier montre que le recourant est investi, critique et offensif dans la défense de ses droits, exprime sa volonté de diriger la stratégie procédurale, ainsi que les arguments à invoquer sur le fond, prend personnellement de nombreuses initiatives</w:t>
      </w:r>
    </w:p>
    <w:p>
      <w:r>
        <w:t>- 13/14 -</w:t>
      </w:r>
    </w:p>
    <w:p>
      <w:r>
        <w:t>AC/2149/2024 auprès de différents organismes (SEASP, SPMi) ou autorité (Ministère public) et use de dénonciations (Bâtonnière), ce qui interroge sur sa disposition à prendre en considération les conseils d’un professionnel du droit expérimenté en procédure judiciaire. Le recours, infondé, sera dès lors rejeté. 4. Sauf exceptions non réalisées en l'espèce, il n'est pas perçu de frais judiciaires pour la procédure d'assistance juridique (art. 119 al. 6 CPC). Il n’y a pas lieu à l’octroi de dépens. * * * * *</w:t>
      </w:r>
    </w:p>
    <w:p>
      <w:r>
        <w:t>- 14/14 -</w:t>
      </w:r>
    </w:p>
    <w:p>
      <w:r>
        <w:t>AC/2149/2024 PAR CES MOTIFS, LA VICE-PRÉSIDENTE DE LA COUR :</w:t>
      </w:r>
    </w:p>
    <w:p>
      <w:r>
        <w:t>A la forme : Déclare recevable le recours formé le 22 août 2025 par A______ contre la décision rendue le 18 août 2025 par la vice-présidence du Tribunal civil dans la cause AC/2149/2024.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décembre 2017 consid. 3.4). La décision relative à un changement d’avocat d’office n’appartient qu’à l’autorité, à l’exclusion du justiciable ou de son avocat de choix désigné d’office, sans quoi les règles applicables au remplacement du défenseur d'office seraient contournées (arr 7B_1030/2024 du 2 décembre 2024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