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DAAJ/134/2021 vom 9. Juni 2021</w:t>
      </w:r>
    </w:p>
    <w:p>
      <w:r>
        <w:t>GE Cour de justice, 2021-06-09, FR</w:t>
      </w:r>
    </w:p>
    <w:p>
      <w:r>
        <w:rPr>
          <w:b/>
        </w:rPr>
        <w:t xml:space="preserve">Quelle: </w:t>
      </w:r>
      <w:r>
        <w:t>https://mcp.opencaselaw.ch/entscheid/ge_gerichte_DAAJ_134_2021</w:t>
      </w:r>
    </w:p>
    <w:p>
      <w:r>
        <w:t>FR: GE_GERICHTE DAAJ/134/2021 du 9 juin 2021</w:t>
      </w:r>
    </w:p>
    <w:p>
      <w:r>
        <w:t>IT: GE_GERICHTE DAAJ/134/2021 del 9 giugno 2021</w:t>
      </w:r>
    </w:p>
    <w:p>
      <w:pPr>
        <w:pStyle w:val="Heading2"/>
      </w:pPr>
      <w:r>
        <w:t>Erwägungen</w:t>
      </w:r>
    </w:p>
    <w:p>
      <w:r>
        <w:rPr>
          <w:b/>
        </w:rPr>
        <w:t>E. 1.1</w:t>
      </w:r>
    </w:p>
    <w:p>
      <w:r>
        <w:t>En tant qu'elle refuse l'assistance juridique, la décision entreprise est sujette à recours auprès de la présidente de la Cour de justice (art. 10 al. 3 LPA).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A teneur de l'art. 326 al. 1 CPC, les conclusions et les allégations de faits nouvelles sont irrecevables dans le cadre d'une procédure de recours. Par conséquent, les pièces nouvelles produites par le recourant ne seront pas prises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128 I 225 consid. 2.5.3). Pour déterminer les chances de succès d'un recours, le juge peut prendre en considération la décision de première instance, en comparant celle-ci avec les griefs</w:t>
      </w:r>
    </w:p>
    <w:p>
      <w:r>
        <w:t>- 5/8 -</w:t>
      </w:r>
    </w:p>
    <w:p>
      <w:r>
        <w:t>AC/1605/2021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(arrêt du Tribunal fédéral 5D_83/2020 du 28 octobre 2020 consid. 5.3.2). La situation doit être appréciée à la date du dépôt de la requête et sur la base d'un examen sommaire (ATF 142 III 138 consid. 5.1; 133 III 614 consid. 5).</w:t>
      </w:r>
    </w:p>
    <w:p>
      <w:r>
        <w:rPr>
          <w:b/>
        </w:rPr>
        <w:t>E. 3.2</w:t>
      </w:r>
    </w:p>
    <w:p>
      <w:r>
        <w:t>Selon l'art. 9 LAA,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(al. 1). Sont aussi réputées maladies professionnelles les autres maladies dont il est prouvé qu'elles ont été causées exclusivement ou de manière nettement prépondérante par l'exercice de l'activité professionnelle (al. 2). L'art. 9 al. 2 LAA constitue une clause générale visant à combler les lacunes qui pourraient résulter de ce que la liste dressée par le Conseil fédéral à l'annexe 1 de l'OLAA ne mentionne pas une substance nocive qui a causé une maladie ou une maladie causée par l'exercice de l'activité professionnelle. Selon la jurisprudence, la condition d'un lien exclusif ou nettement prépondérant au sens de l'art. 9 al. 2 LAA - parfois appelé causalité qualifiée - n'est réalisée que si la maladie a été causée à 75% au moins par l'exercice de l'activité professionnelle. Le Tribunal fédéral a précisé que ce taux de 75% signifie, pour certaines affections qui ne sont pas typiques d'une profession déterminée, qu'il doit être démontré, sur la base des statistiques épidémiologiques ou des expériences cliniques, que les cas de lésions pour un groupe professionnel déterminé sont quatre fois plus nombreux que ceux enregistrés dans la population en général (ATF 116 V 136 consid. 5a; arrêt du Tribunal fédéral 8C_516/2020 du 3 février 2021 consid. 3.2.1 et 3.2.2 et les références). S'agissant des atteintes lombaires, qui tombent sous le coup de la clause générale de l'art. 9 al. 2 LAA (arrêt du Tribunal fédéral 8C_1029/2009 du 11 janvier 2010 consid. 2.2.2), le Tribunal fédéral des assurances a souligné que plusieurs études médicales permettaient de conclure que des travaux corporels lourds représentaient un facteur étiologique significatif dans le développement de tels troubles, mais pas dans une proportion statistique de 4 : 1 (arrêt du Tribunal fédéral des assurances U 337/2001 du 27 août 2003 consid. 3 concernant un employé de la Poste). On peut encore ajouter que d’après la littérature médicale, les modifications dégénératives de la colonne</w:t>
      </w:r>
    </w:p>
    <w:p>
      <w:r>
        <w:t>- 6/8 -</w:t>
      </w:r>
    </w:p>
    <w:p>
      <w:r>
        <w:t>AC/1605/2021 vertébrale apparaissent selon l'expérience après une durée d'exposition au risque d'environ dix ans (cf. la référence citée au consid. 3 de l'arrêt U 337/2001 précité). Selon les études, les troubles musculo-squelettiques constituent une pathologie très répandue, et leur survenance est fonction de facteurs de risque individuels (âge, genre, latéralité et antécédents médicaux) et environnementaux, à savoir des contraintes biomécaniques dues à l'activité professionnelle et des facteurs psycho-sociaux liés au travail (insatisfaction quant aux conditions de travail, pression des délais, relations de travail dégradées, etc.) ou extra-professionnels. En tant que maladies à composante professionnelle, les troubles musculo-squelettiques procèdent néanmoins d'une multitude de facteurs, notamment psychologiques et anamnestiques, sur la base desquels il y a lieu d'écarter toute éventualité qu'ils aient été causés exclusivement ou de manière nettement prépondérante par l'exercice de l'activité, en l'occurrence caissière dans un grand magasin (arrêt du Tribunal fédéral 8C_415/2015 du 24 mars 2016 consid. 6.1 et 6.2). Les troubles de la santé associés au travail, qui sont certes souvent mis en lien avec le travail mais sont généralement d'origine multifactorielle et ne remplissent dès lors pas les critères de causalité prévus par la loi, ne tombent pas sous la définition des maladies professionnelles. Parmi ces troubles figurent ceux qui surviennent souvent en lien avec des travaux répétitifs, mais ne reposent pas sur une lésion démontrée (repetitive strain injuries) ou correspondent à des dégénérescences causées par l'âge ou le stress, tels que les maux de tête ou les douleurs dorsales (Andreas TRAUB in Basler Kommentar zum UVG, 2019, n. 12 ad art. 9 LAA).</w:t>
      </w:r>
    </w:p>
    <w:p>
      <w:r>
        <w:rPr>
          <w:b/>
        </w:rPr>
        <w:t>E. 3.3</w:t>
      </w:r>
    </w:p>
    <w:p>
      <w:r>
        <w:t>Le juge peut accorder pleine valeur probante aux rapports et expertises établis par les médecins d’un assureur aussi longtemps que ceux-ci aboutissent à des résultats convaincants, que leurs conclusions sont sérieusement motivées, que ces avis ne contiennent pas de contradictions et qu’aucun indice concret ne permet de mettre en cause leur bien-fondé (ATF 125 V 251 consid. 3b/ee).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 (ATF 122 V 157 consid. 1d; 123 V 175 consid. 3d; 125 V 351 consid. 3b ee; 135 V 465 consid. 4.4; arrêt du Tribunal fédéral 8C_588 /2015 du 17 décembre 2015 consid. 2). Par ailleurs,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w:t>
      </w:r>
    </w:p>
    <w:p>
      <w:r>
        <w:t>- 7/8 -</w:t>
      </w:r>
    </w:p>
    <w:p>
      <w:r>
        <w:t>AC/1605/2021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3.4</w:t>
      </w:r>
    </w:p>
    <w:p>
      <w:r>
        <w:t>En l'espèce, la F______ a estimé, par décision sur opposition du 18 mai 2021, qu'une relation de causalité nettement prépondérante entre l'activité professionnelle exercée par le recourant et la lombalgie chronique dont il souffrait ne pouvait être retenue, de sorte qu'il n'était pas possible d'admettre l'existence d'une maladie professionnelle. L'assuré a interjeté recours contre cette décision et a sollicité l'assistance juridique, qui lui a été refusée par décision du 9 juin 2021, faute de chances de succès. A l'appui de son recours, l'assuré a notamment contesté la valeur probante des rapports du médecin de la F______ et considéré que ses lombosciatalgies avaient été provoquées par son activité professionnelle et qu'il appartenait par conséquent à la F______ d'en prendre en charge les suites. A titre liminaire, il convient de rappeler que le juge peut, à certaines conditions, accorder pleine valeur probante aux rapports et expertises établis par les médecins d’un assureur et que le seul fait que ces médecins sont employés d'une assurance ne permet pas de conclure à l'existence d'une prévention et d'un manque d'objectivité. Un rapport établi sur dossier n'est pas non plus en soi dénué de toute valeur probante. Cela étant précisé, force est de constater, au vu de la jurisprudence fédérale susmentionnée, que les chances de succès du recours de l'assuré semblent minces. En effet, selon les études mentionnées par le Tribunal fédéral, si les travaux lourds représentent bien un facteur étiologique significatif dans le développement de troubles lombaires, cela n'est pas dans la proportion statistique de 4 : 1. S'y ajoute en outre le fait que les modifications dégénératives de la colonne vertébrale apparaissent, selon l'expérience, après une durée d'exposition au risque d'environ dix ans. Or, le recourant n'a occupé le poste de manutentionnaire que pendant cinq mois et à temps partiel. Dans ces conditions, c'est de manière conforme au droit que l'autorité de première instance a refusé l'assistance juridique au recourant, au motif que les chances de succès d'un recours à l'encontre de la décision sur opposition de la F______ du 18 mai 2021 paraissaient extrêmement faibles. Partant, le présent recours, infondé, sera rejeté.</w:t>
      </w:r>
    </w:p>
    <w:p>
      <w:r>
        <w:rPr>
          <w:b/>
        </w:rPr>
        <w:t>E. 4</w:t>
      </w:r>
    </w:p>
    <w:p>
      <w:r>
        <w:t>Sauf exceptions non réalisées en l'espèce, il n'est pas perçu de frais judiciaires pour la procédure d'assistance juridique (art. 119 al. 6 CPC). * * * * *</w:t>
      </w:r>
    </w:p>
    <w:p>
      <w:r>
        <w:t>- 8/8 -</w:t>
      </w:r>
    </w:p>
    <w:p>
      <w:r>
        <w:t>AC/1605/2021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