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DAAJ/130/2023 vom 10. August 2023</w:t>
      </w:r>
    </w:p>
    <w:p>
      <w:r>
        <w:t>GE Cour de justice, 2023-08-10, FR</w:t>
      </w:r>
    </w:p>
    <w:p>
      <w:r>
        <w:rPr>
          <w:b/>
        </w:rPr>
        <w:t xml:space="preserve">Quelle: </w:t>
      </w:r>
      <w:r>
        <w:t>https://mcp.opencaselaw.ch/entscheid/ge_gerichte_DAAJ_130_2023</w:t>
      </w:r>
    </w:p>
    <w:p>
      <w:r>
        <w:t>FR: GE_GERICHTE DAAJ/130/2023 du 10 août 2023</w:t>
      </w:r>
    </w:p>
    <w:p>
      <w:r>
        <w:t>IT: GE_GERICHTE DAAJ/130/2023 del 10 agosto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- 4/6 -</w:t>
      </w:r>
    </w:p>
    <w:p>
      <w:r>
        <w:t>AC/1866/2023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 arrêt du Tribunal fédéral 4A_161/2023 du 7 juillet 2023 consid. 4.1).</w:t>
      </w:r>
    </w:p>
    <w:p>
      <w:r>
        <w:rPr>
          <w:b/>
        </w:rPr>
        <w:t>E. 3.2</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4A_480/2022 du 29 novembre 2022 consid. 3.2 et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(Ibid.).</w:t>
      </w:r>
    </w:p>
    <w:p>
      <w:r>
        <w:t>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w:t>
      </w:r>
    </w:p>
    <w:p>
      <w:r>
        <w:t>- 5/6 -</w:t>
      </w:r>
    </w:p>
    <w:p>
      <w:r>
        <w:t>AC/1866/2023 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3.3</w:t>
      </w:r>
    </w:p>
    <w:p>
      <w:r>
        <w:t>En l'espèce, il apparaît, s'agissant en premier lieu des rapports entre la recourante et sa caisse de chômage, que le litige pour lequel elle avait demandé l'assistance juridique, à savoir la question d'un éventuel remboursement de montants objet de la décision du</w:t>
      </w:r>
    </w:p>
    <w:p>
      <w:r>
        <w:rPr>
          <w:b/>
        </w:rPr>
        <w:t>E. 7</w:t>
      </w:r>
    </w:p>
    <w:p>
      <w:r>
        <w:t>juin 2023, est clos : la caisse aurait, selon les dires de la recourante, directement versé à l'employeur le montant litigieux. Ainsi, les motifs de la décision entreprise gardent leur actualité : il n'apparaît pas que l'intervention d'un avocat était nécessaire pour solder ce contentieux, d'apparence seulement comptable et qui pouvait se résoudre sans qu'il soit fait usage d'une voie de droit avec l'aide d'un avocat. La recourante invoque encore dans son recours une décision ultérieure du 18 juillet 2023 qui porte sur un autre objet (la suspension de son droit aux indemnités). Ce faisant, elle se base sur des faits nouveaux et irrecevables, qui n'ont pas été soumis à l'autorité précédente. Celle-ci ne pouvait donc statuer sur l'octroi de l'assistance juridique pour une décision dont elle n'avait pas connaissance. Ainsi, devant l'autorité précédente, seule se posait la question de la nécessité de l'assistance d'un avocat pour fournir des explications à la caisse de chômage avant le prononcé de toute décision. Ici encore, la recourante pouvait agir seule pour décrire en quoi il était ou n'était pas convenable pour elle de conserver son emploi précédent. Comme cela ressort de son recours, il s'agissait seulement d'exposer une rupture du lien de confiance, ce que la recourante était en mesure de faire seule. Le recours sera rejeté sur ce point déjà. Concernant ensuite un prétendu procès prud'homal qu'elle veut intenter, la recourante reste, comme en première instance, dans l'incapacité d'articuler ses prétentions et/ou leur fondement. S'agissant de la valeur litigieuse, elle se contente d'écrire que celle-ci n'était pas "aisément déterminable" jusqu'à une décision de la caisse de chômage, finalement rendue le 20 juillet 2023; pourtant, même dans son recours et alors qu'elle est désormais en possession de cette prétendue décision, elle ne précise pas ses prétentions. Plus loin, elle déclare souhaiter s'opposer à toute éventuelle prétention de son employeur. Il va de soi que l'aide financière de l'Etat ne peut pas être octroyée pour mener des actions hypothétiques et non chiffrées. A ce sujet, comme le montre le recours, interpeller une seconde fois la recourante, assistée d'un avocat, pour qu'elle complète son dossier n'était pas seulement excessif au regard des maximes applicables, mais surtout inutile. L'autorité précédente y a renoncé à bon droit. La décision est donc fondée et le recours sera rejeté. 4. Sauf exceptions non réalisées en l'espèce, il n'est pas perçu de frais judiciaires pour la procédure d'assistance juridique (art. 119 al. 6 CPC). * * * * *</w:t>
      </w:r>
    </w:p>
    <w:p>
      <w:r>
        <w:t>- 6/6 -</w:t>
      </w:r>
    </w:p>
    <w:p>
      <w:r>
        <w:t>AC/1866/2023</w:t>
      </w:r>
    </w:p>
    <w:p>
      <w:r>
        <w:t>PAR CES MOTIFS, LA VICE-PRÉSIDENTE DE LA COUR : A la forme : Déclare recevable le recours formé par A______ contre la décision rendue le 10 août 2023 par la vice-présidence du Tribunal civil dans la cause AC/1866/2023. Au fond : Le rejette. Déboute A______ de toutes autres conclusions. Dit qu'il n'est pas perçu de frais judiciaires pour le recours. Notifie une copie de la présente décision à A______ en l'Etude de Me Pierre SIEGRIST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