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DAAJ/12/2025 vom 27. September 2024</w:t>
      </w:r>
    </w:p>
    <w:p>
      <w:r>
        <w:t>GE Cour de justice, 2024-09-27, FR</w:t>
      </w:r>
    </w:p>
    <w:p>
      <w:r>
        <w:rPr>
          <w:b/>
        </w:rPr>
        <w:t xml:space="preserve">Quelle: </w:t>
      </w:r>
      <w:r>
        <w:t>https://mcp.opencaselaw.ch/entscheid/ge_gerichte_DAAJ_12_2025</w:t>
      </w:r>
    </w:p>
    <w:p>
      <w:r>
        <w:t>FR: GE_GERICHTE DAAJ/12/2025 du 27 septembre 2024</w:t>
      </w:r>
    </w:p>
    <w:p>
      <w:r>
        <w:t>IT: GE_GERICHTE DAAJ/12/2025 del 27 settembre 2024</w:t>
      </w:r>
    </w:p>
    <w:p>
      <w:pPr>
        <w:pStyle w:val="Heading2"/>
      </w:pPr>
      <w:r>
        <w:t>Erwägungen</w:t>
      </w:r>
    </w:p>
    <w:p>
      <w:r>
        <w:rPr>
          <w:b/>
        </w:rPr>
        <w:t>E. 1.1</w:t>
      </w:r>
    </w:p>
    <w:p>
      <w:r>
        <w:t>La décision entreprise est sujette à recours auprès de la présidence de la Cour de justice en tant qu'elle refuse l'assistance juridique (art. 10 al. 3de la loi sur la procédure administrative du 12 septembre 1985 - LPA - E 5 10), compétence expressément déléguée à la vice-présidente soussignée sur la base des art. 29 al. 5 loi sur l’organisation judiciaire du 26 septembre 2010 (LOJ - E 2 05) et 10 al. 1 du règlement de la Cour de justice (RSG - E 2 05.47). Le recours, écrit et motivé, est introduit auprès de l'instance de recours (art. 321 al. 1 du code de procédure civile du 19 décembre 2008 - CPC - RS 272) dans un délai de de 30 jours (art. 10 al. 3 LPA, 130, 131 et 321 al. 1 CPC, applicables par renvoi des art. 10 al. 4 LPA et 8 al. 3 du règlement sur l'assistance juridique et l'indemnisation des conseils juridiques et défenseurs d'office en matière civile, administrative et pénale du 28 juillet 2010 - RAJ - E 2 05.04;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(Fabienne HOHL, Procédure civile, tome II, 2ème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2.1</w:t>
      </w:r>
    </w:p>
    <w:p>
      <w:r>
        <w:t>Reprenant l'art. 29 al. 3 de la Constitution fédérale de la Confédération suisse du 18 avril 1999 (Cst. - RS 101),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w:t>
      </w:r>
    </w:p>
    <w:p>
      <w:r>
        <w:t>- 5/12 -</w:t>
      </w:r>
    </w:p>
    <w:p>
      <w:r>
        <w:t>AC/2335/2024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En l'espèce, le recourant se plaint tout d’abord du fait que l’autorité précédente se serait substituée au juge du fond. La vice-présidence de Tribunal civil a examiné sommairement, conformément aux principes applicables en la matière, les chances de succès du recours au TAPI contre la décision de l'OCPM, en comparant celle-ci avec les griefs invoqués par le recourant. Il incombe précisément à cette autorité d'examiner si un justiciable ne conduit pas, aux frais de l'Etat, des procédures dénuées de chances de succès. Dans cette mesure, la vice- présidence ne s'est pas substituée au juge du fond et n'a pas violé le droit en procédant de la sorte. Ce grief doit ainsi être écarté.</w:t>
      </w:r>
    </w:p>
    <w:p>
      <w:r>
        <w:rPr>
          <w:b/>
        </w:rPr>
        <w:t>E. 3.1</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notamment par l’accord du 21 juin 1999 entre la Confédération suisse d'une part, et la Communauté européenne et ses Etats membres, d'autre part, sur la libre circulation des personnes (ALCP - RS 0.142.112.681). La loi ne s'applique aux ressortissants des États membres de l'Union européenne que lorsque l'ALCP n'en dispose pas autrement ou lorsqu'elle prévoit des dispositions plus favorables (art. 12 ALCP et 2 al. 2 LEI).</w:t>
      </w:r>
    </w:p>
    <w:p>
      <w:r>
        <w:t>- 6/12 -</w:t>
      </w:r>
    </w:p>
    <w:p>
      <w:r>
        <w:t>AC/2335/2024 En l'occurrence, le recourant est de nationalité italienne, de sorte que sa situation est réglée par l'ALCP et par l’OLCP, notamment l'Annexe I ALCP (art. 3, 4 et 7 let. c ALCP).</w:t>
      </w:r>
    </w:p>
    <w:p>
      <w:r>
        <w:rPr>
          <w:b/>
        </w:rPr>
        <w:t>E. 3.2</w:t>
      </w:r>
    </w:p>
    <w:p>
      <w:r>
        <w:t>L'art. 6 ALCP garantit aux personnes n'exerçant pas d'activité économique le droit de séjourner sur le territoire d'une partie contractante, conformément aux dispositions de l'Annexe I ALCP relatives aux non-actifs (art. 24 Annexe I ALCP). L'art. 24 al. 1 Annexe I ALCP exige notamment que l'intéressé dispose pour lui-même et les membres de sa famille de moyens financiers suffisants pour ne pas devoir faire appel à l'aide sociale pendant son séjour (let. a). L'art. 24 al. 2 Annexe I ALCP précise en outre que les moyens financiers nécessaires sont réputés suffisants s'ils dépassent le montant en-dessous duquel les nationaux, eu égard à leur situation personnelle, peuvent prétendre à des prestations d'assistance. Selon l'art. 16 al. 1 OLCP, tel est le cas si ces moyens dépassent les prestations d'assistance qui seraient allouées en vertu des directives « Aide sociale: concepts et normes de calcul » de la Conférence suisse des institutions d'action sociale (ci-après : normes CSIAS), à un ressortissant suisse, éventuellement aux membres de sa famille, sur demande de l'intéressé et compte tenu de sa situation personnelle (ATF 144 II 113 consid. 4.1; 142 II 35 consid. 5.1; arrêt du Tribunal fédéral 2C_580/2021 du 4 octobre 2021 consid. 3.2).</w:t>
      </w:r>
    </w:p>
    <w:p>
      <w:r>
        <w:rPr>
          <w:b/>
        </w:rPr>
        <w:t>E. 3.3</w:t>
      </w:r>
    </w:p>
    <w:p>
      <w:r>
        <w:t>Selon l’art. 20 OLCP, si les conditions d'admission sans activité lucrative ne sont pas remplies au sens de l'ALCP ou au sens de la Convention instituant l'AELE, une autorisation de séjour UE/AELE peut être délivrée lorsque des motifs importants l'exigent. Il n'existe cependant pas de droit en la matière, l'autorité cantonale statuant librement, sous réserve de l'approbation du secrétariat d'État aux migrations (ci-après : SEM) (art. 29 OLCP). Les autorités compétentes tiennent compte, en exerçant leur pouvoir d'appréciation, des intérêts publics, de la situation personnelle de l'étranger, ainsi que de son degré d'intégration (art. 96 al. 1 LEI). S'agissant de la notion de « motifs importants », les conditions posées à l’admission de l’existence de tels motifs au sens de l'art. 20 OLCP correspondent à celles posées à la reconnaissance d’un cas de rigueur en vertu de l'art. 30 al. 1 let. b LEI en lien avec les précisions apportées par l’art. 31 OASA (arrêt du Tribunal administratif fédéral [ci- après : TAF] F-4332/2018 du 20 août 2019 consid. 6.2 et les arrêts cités). Dès lors que l'admission des personnes sans activité lucrative dépend uniquement de l’existence de moyens financiers suffisants et d’une affiliation à une caisse maladie, les cas visés par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sœur, oncle, neveu, tante ou nièce; directives OLCP ch. 6.5, état 1/2025).</w:t>
      </w:r>
    </w:p>
    <w:p>
      <w:r>
        <w:rPr>
          <w:b/>
        </w:rPr>
        <w:t>E. 3.4</w:t>
      </w:r>
    </w:p>
    <w:p>
      <w:r>
        <w:t>L'art. 31 al. 1 OASA prévoit que pour apprécier l'existence d'un cas individuel d'extrême gravité, il convient de tenir compte notamment de l'intégration du requérant</w:t>
      </w:r>
    </w:p>
    <w:p>
      <w:r>
        <w:t>- 7/12 -</w:t>
      </w:r>
    </w:p>
    <w:p>
      <w:r>
        <w:t>AC/2335/2024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137 II 345 consid. 3.2.1). L'autorité doit néanmoins procéder à l'examen de l'ensemble des circonstances du cas d'espèce pour déterminer l'existence d'un cas de rigueur (ATF 128 II 200 consid. 4; 124 II 110 consid. 2; ATA/38/2019 du 15 janvier 2019 consid. 4c).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2A_543/2001 du 25 avril 2002 consid. 5.2). La jurisprudence requiert, de manière générale, une très longue durée de séjour en Suisse, soit une période de sept à huit ans (ATA/1306/2020 du 15 décembre 2020 consid. 5b), une durée de séjour régulier et légal de dix ans permettant de présumer que les relations sociales entretenues en Suisse par la personne concernée sont devenues si étroites que des raisons particulières sont nécessaires pour mettre fin à son séjour dans ce pays (ATF 144 I 266 consid. 3.8). En règle générale, la durée du séjour illégal en Suisse ne peut être prise en considération dans l’examen d’un cas de rigueur car, si tel était le cas, l’obstination à violer la législation en vigueur serait en quelque sorte récompensée (ATF 130 II 39 consid. 3; arrêt du Tribunal fédéral 2D_13/2016 du 11 mars 2016 consid. 3.2; ATA/667/2021 du 29 juin 2021 consid. 6c). Les années passées en Suisse dans l’illégalité ou au bénéfice d’une simple tolérance – par exemple en raison de l’effet suspensif attaché à des procédures de recours – ne sont pas déterminantes (ATF 137 II 1 consid. 4.3; 134 II 10 consid. 4.3; arrêts du Tribunal fédéral 2C_603/2019 du 16 décembre 2019 consid. 6.2; 2C_436/2018 du 8 novembre 2018 consid. 2.2). L’indépendance économique est un aspect qui est en principe attendu de tout étranger désireux de s’établir durablement en Suisse et ne constitue donc pas un élément extraordinaire (arrêts du Tribunal fédéral 2C_779/2016 du 13 septembre 2016 consid. 4.2 et 2C_789/2014 du 20 février 2015 consid. 2.2.2). La question est ainsi de savoir si, en cas de retour dans le pays d'origine, les conditions de sa réintégration sociale, au regard de la situation personnelle, professionnelle et</w:t>
      </w:r>
    </w:p>
    <w:p>
      <w:r>
        <w:t>- 8/12 -</w:t>
      </w:r>
    </w:p>
    <w:p>
      <w:r>
        <w:t>AC/2335/2024 familiale de l'intéressé, seraient gravement compromises (arrêts du Tribunal fédéral 2C_621/2015 du 11 décembre 2015 consid. 5.2.1; 2C_369/2010 du 4 novembre 2010 consid. 4.1).</w:t>
      </w:r>
    </w:p>
    <w:p>
      <w:r>
        <w:rPr>
          <w:b/>
        </w:rPr>
        <w:t>E. 3.5</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arrêt du Tribunal fédéral 2C_861/2015 du 11 février 2016 consid. 4.2; arrêt du TAF F-6860/2016 du 6 juillet 2018 consid. 5.2.2; ATA/822/2023 du 9 août 2023 consid. 3.9). 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ATF 137 II 305 consid. 4.3; arrêts du Tribunal fédéral 2D_14/2018 du 13 août 2018 consid. 4.1;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w:t>
      </w:r>
    </w:p>
    <w:p>
      <w:r>
        <w:t>- 9/12 -</w:t>
      </w:r>
    </w:p>
    <w:p>
      <w:r>
        <w:t>AC/2335/2024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rPr>
          <w:b/>
        </w:rPr>
        <w:t>E. 3.6</w:t>
      </w:r>
    </w:p>
    <w:p>
      <w:r>
        <w:t>En l'espèce, le recourant allègue remplir les critères d’un cas de rigueur en raison de la longue durée de son séjour en Suisse ainsi que de la maladie dont il souffre. Il apparait de prime abord que le recourant est revenu en Suisse pour la dernière fois en septembre 2022, comme il l’a d’ailleurs indiqué dans sa demande d’autorisation de séjour. À teneur du dossier, il apparaît à ce sujet que le recourant ne peut a priori être suivi quand il indique avoir habité en Suisse toute sa vie hormis entre 2015 et 2017. Il sera souligné que le recourant n’apporte aucun élément de preuve lui permettant de prouver ses allégations. En revanche, à teneur des arrêts de la chambre pénale d’appel et de révision et de la chambre administrative (ch. A. b. et A. d. du présent arrêt), entrés en force et définitifs, le domicile du recourant en Suisse à compter du 1er avril 2001 était fictif. Il semble ainsi qu’il ne puisse être suivi quand il indique avoir vécu toute sa vie en Suisse. Le recourant n’allègue ensuite pas que l’Italie ne disposerait pas des infrastructures hospitalières pour les suivis et les traitements médicamenteux dont il aurait besoin. A ce sujet, il ressort de la jurisprudence que le seul fait d'obtenir en Suisse des prestations médicales supérieures à celles du pays d’origine ne suffit pas à justifier une exception aux mesures de limitation. Il n’apparaît en outre pas prima facie que le suivi et le traitement médicamenteux du recourant ne pourraient être mis en place ou ne seraient pas disponibles en Italie. Il n’apparaît donc pas, de prime abord, que son état de santé soit constitutif d’un cas de rigueur. Pour le surplus, le recourant ne remet pas en cause les considérations de l'Autorité de première instance sur l’existence de plusieurs condamnations pénales, sur le fait qu'il émarge à l'aide sociale, et que son intégration sociale ne serait pas particulièrement poussée. Dans ces circonstances, il ne semble pas que l’OCPM aurait abusé de son pouvoir d’appréciation en retenant qu’aucun motif déterminant ne justifiait la délivrance d’une autorisation en faveur du recourant, que ce soit sur la base de l'ALCP, de l'art. 20 OLCP ou de l'art. 31 OASA.</w:t>
      </w:r>
    </w:p>
    <w:p>
      <w:r>
        <w:rPr>
          <w:b/>
        </w:rPr>
        <w:t>E. 4.1</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La décision de renvoi est assortie d'un délai de départ raisonnable (art. 64d al. 1 LEI).</w:t>
      </w:r>
    </w:p>
    <w:p>
      <w:r>
        <w:t>- 10/12 -</w:t>
      </w:r>
    </w:p>
    <w:p>
      <w:r>
        <w:t>AC/2335/2024 A teneur de l'art. 83 LEI, le renvoi d'un étranger ne peut être ordonné que si l'exécution de celui-ci est possible, licite ou peut être raisonnablement exigée (al. 1). L'exécution n'est pas possible lorsque l'intéressé ne peut quitter la Suisse pour son État d'origine, son État de provenance ou un État tiers ni être renvoyé dans un de ces États (al. 2). Elle n'est pas licite lorsqu'elle serait contraire aux engagements internationaux de la Suisse (al. 3). Elle n'est pas raisonnablement exigible si elle met concrètement en danger l'étranger, par exemple en cas de guerre, de guerre civile, de violence généralisée ou de nécessité médicale (al. 4). S'agissant plus spécifiquement des personnes en traitement médical en Suisse, l'exécution du renvoi ne devient inexigible, en cas de retour dans leur pays d'origine ou de provenance,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(arrêt du TAF 2011/50 consid. 8.3). L'art. 83 al. 4 LEI ne saurait faire échec à une décision de renvoi, ou ne saurait fonder un droit général d'accès en Suisse à des mesures médicales visant à recouvrer la santé ou la maintenir,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 même s'ils sont d'un niveau de qualité, d'une efficacité de terrain (ou clinique) et d'une utilité (pour la qualité de vie) moindres que ceux disponibles en Suisse; en particulier, des traitements médicamenteux d'une génération plus ancienne et moins efficaces, peuvent, selon les circonstances, être considérés comme adéquats. Si les soins essentiels nécessaires peuvent donc être assurés dans le pays d'origine de l'étranger concerné, cas échéant avec d'autres médications que celles prescrites en Suisse, l'exécution du renvoi dans ce pays sera raisonnablement exigible. Elle ne le sera toutefois plus si, en raison de l'absence de possibilités de traitement adéquat, l'état de santé de l'intéressé se dégraderait très rapidement au point de conduire d'une manière certaine à la mise en danger concrète de sa vie ou à une atteinte sérieuse, durable et grave de son intégrité physique ou psychique (arrêt du TAF F-235/2018 du 9 avril 2019 consid. 9.3.3; ATA/1196/2021 du</w:t>
      </w:r>
    </w:p>
    <w:p>
      <w:r>
        <w:rPr>
          <w:b/>
        </w:rPr>
        <w:t>E. 4.2.1</w:t>
      </w:r>
    </w:p>
    <w:p>
      <w:r>
        <w:t>En l'espèce, de prime abord, les problèmes de santé du recourant ne semblent pas d'une gravité telle, qu'ils puissent constituer un obstacle à l'exécution de son renvoi en Italie. De plus, comme vu ci-dessus, il semble douteux que le recourant ne puisse pas trouver dans son pays d'origine un encadrement médical adéquat, au sens de la jurisprudence précitée, pour continuer les éventuels traitements entrepris en Suisse, étant précisé que la chambre administrative a également retenu qu'un changement de</w:t>
      </w:r>
    </w:p>
    <w:p>
      <w:r>
        <w:t>- 11/12 -</w:t>
      </w:r>
    </w:p>
    <w:p>
      <w:r>
        <w:t>AC/2335/2024 thérapeute n’était pas de nature à rendre le renvoi du recourant illicite, impossible ou inexigible (ATA/1046/2023 du 26 septembre 2023 consid. 10.3). Dans ces circonstances, il n’apparaît pas que l'exécution du renvoi du recourant ne serait pas possible, serait illicite ou qu'elle ne serait pas raisonnablement exigible.</w:t>
      </w:r>
    </w:p>
    <w:p>
      <w:r>
        <w:rPr>
          <w:b/>
        </w:rPr>
        <w:t>E. 4.2.2</w:t>
      </w:r>
    </w:p>
    <w:p>
      <w:r>
        <w:t>Compte tenu de ce qui précède, c'est de manière conforme au droit que la vice- présidence du Tribunal civil a refusé l'assistance juridique au recourant, au motif que les chances de succès de son recours à l'encontre de la décision de l'OCPM du 21 août 2024 paraissaient, a priori, très faibles. Partant, mal fondé, le recours sera rejeté. 5. Sauf exceptions non réalisées en l'espèce, il n'est pas perçu de frais judiciaires pour la procédure d'assistance juridique (art. 119 al. 6 CPC). Il n'y a pas lieu à l'octroi de dépens, vu l’issue du litige. * * * * *</w:t>
      </w:r>
    </w:p>
    <w:p>
      <w:r>
        <w:t>- 12/12 -</w:t>
      </w:r>
    </w:p>
    <w:p>
      <w:r>
        <w:t>AC/2335/2024</w:t>
      </w:r>
    </w:p>
    <w:p>
      <w:r>
        <w:t>PAR CES MOTIFS, LA VICE-PRÉSIDENTE DE LA COUR :</w:t>
      </w:r>
    </w:p>
    <w:p>
      <w:r>
        <w:t>A la forme : Déclare recevable le recours formé par A______ contre la décision rendue le 27 septembre 2024 par la vice-présidence du Tribunal civil dans la cause AC/2335/2024.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w:t>
      </w:r>
    </w:p>
    <w:p>
      <w:r>
        <w:t>Voies de recours :</w:t>
      </w:r>
    </w:p>
    <w:p>
      <w:r>
        <w:t>Le Tribunal fédéral connaît, comme juridiction ordinaire de recours, des recours en matière de droit public; la qualité et les autres conditions pour interjeter recours sont déterminées par les art. 82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av. du Tribunal-Fédéral 29, 1000 Lausanne 14.</w:t>
      </w:r>
    </w:p>
    <w:p>
      <w:r>
        <w:rPr>
          <w:b/>
        </w:rPr>
        <w:t>E. 9</w:t>
      </w:r>
    </w:p>
    <w:p>
      <w:r>
        <w:t>novembre 2021 consid. 6a).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