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DAAJ/12/2016 vom 19. November 2015</w:t>
      </w:r>
    </w:p>
    <w:p>
      <w:r>
        <w:t>GE Cour de justice, 2015-11-19, FR</w:t>
      </w:r>
    </w:p>
    <w:p>
      <w:r>
        <w:rPr>
          <w:b/>
        </w:rPr>
        <w:t xml:space="preserve">Quelle: </w:t>
      </w:r>
      <w:r>
        <w:t>https://mcp.opencaselaw.ch/entscheid/ge_gerichte_DAAJ_12_2016</w:t>
      </w:r>
    </w:p>
    <w:p>
      <w:r>
        <w:t>FR: GE_GERICHTE DAAJ/12/2016 du 19 novembre 2015</w:t>
      </w:r>
    </w:p>
    <w:p>
      <w:r>
        <w:t>IT: GE_GERICHTE DAAJ/12/2016 del 19 novembre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w:t>
      </w:r>
    </w:p>
    <w:p>
      <w:r>
        <w:t>- 6/9 -</w:t>
      </w:r>
    </w:p>
    <w:p>
      <w:r>
        <w:t>AC/3136/2015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2.1.2. Pour savoir si la désignation d'un avocat d'office est objectivement nécessaire,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2.2.1. 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w:t>
      </w:r>
    </w:p>
    <w:p>
      <w:r>
        <w:t>- 7/9 -</w:t>
      </w:r>
    </w:p>
    <w:p>
      <w:r>
        <w:t>AC/3136/2015 (ATF 127 III 295 consid. 4a ; 123 III 445 consid. 3c ; 122 III 404 consid. 3a et les références citées ; arrêt du Tribunal fédéral 5A_120/2013 du 23 mai 2013 consid. 2.1.2). Le retrait ou la limitation du droit aux relations personnelles ne peut être demandé que si le bien de l'enfant l'exige impérieusement et qu'il est impossible de trouver une réglementation du droit de visite qui sauvegarde ses intérêts. L'art. 274 al. 2 CC a pour objet de protéger l'enfant, et non de punir les parents. Ainsi, la violation par eux de leurs obligations et le fait de ne pas se soucier sérieusement de l'enfant ne sont en soi pas des comportements qui justifient le refus ou le retrait des relations personnelles; ils ne le sont que lorsqu'ils ont pour conséquence que ces relations portent atteinte au bien de l'enfant (ATF 118 II 21 consid. 3c). 2.2.2. D'après l'art. 307 al. 1 CC, l'autorité de protection de l'enfant prend les mesures nécessaires pour protéger l'enfant si son développement est menacé et que les père et mère n'y remédient pas d'eux-mêmes ou soient hors d'état de le faire. Selon l'art. 308 al. 1 CC, lorsque les circonstances l'exigent, l'autorité de protection nomme à l'enfant un curateur qui assiste les père et mère de ses conseils et de son appui dans le soin de l'enfant. La curatelle d'assistance éducative prend tout son sens notamment lorsque les titulaires de l'autorité parentale sont (momentanément) dépassés par la prise en charge d'un enfant en raison de difficultés personnelles ou de problèmes médicaux et/ou éducatifs de l'enfant lui-même (PICHONNAZ/FOEX, Code civil I, 2010, MEIER n. 7 ad art. 308 CC). 2.2.3. Le juge n'est en principe pas lié par les conclusions d'une expertise; toutefois, il ne saurait s'en écarter sans raison sérieuse et doit motiver sa décision à cet égard (ATF 122 V 157 consid. 1c ; 119 Ib 254 consid. 8a ; 118 Ia 144 consid. 1c et les arrêts cités).</w:t>
      </w:r>
    </w:p>
    <w:p>
      <w:r>
        <w:rPr>
          <w:b/>
        </w:rPr>
        <w:t>E. 2.3</w:t>
      </w:r>
    </w:p>
    <w:p>
      <w:r>
        <w:t>En l'espèce, au regard de l'acte de recours du 25 octobre 2015, signé par la recourante en personne, celle-ci semble disposer de bonnes connaissances juridiques, de sorte que c'est à bon droit que le Vice-président du Tribunal civil a considéré que l'assistance d'un avocat n'était pas nécessaire pour la procédure devant la Chambre de surveillance. Au fond, malgré les nombreuses critiques formulées par la recourante à l'égard de l'expertise familiale du 6 mars 2015, les éléments réunis dans la procédure ne semblent à première vue pas permettre d'arriver à une conclusion contraire à celle préconisée par l'expertise et le Service de protection des mineurs. En conséquence et compte tenu des principes rappelés ci-dessus, il ne paraît prima facie pas être dans l'intérêt de l'enfant de supprimer le droit de visite instauré entre celle-ci et son père. En outre, les modalités fixées par le TPAE pour l'exercice du droit de visite semblent adéquates, compte tenu des difficultés de l'enfant à se séparer de sa mère lorsque c'est celle-ci qui l'amène au lieu de rendez-vous avec son père.</w:t>
      </w:r>
    </w:p>
    <w:p>
      <w:r>
        <w:t>- 8/9 -</w:t>
      </w:r>
    </w:p>
    <w:p>
      <w:r>
        <w:t>AC/3136/2015 Par ailleurs, au vu des nombreux différends persistant entre la recourante et le père de l'enfant et du conflit de loyauté dans lequel se trouve cette dernière, les autres mesures prévues par le TPAE semblent a priori justifiées et il paraît peu probable qu'elles seront annulées par la Chambre de surveillance. Compte tenu de ce qui précède, le recours interjeté devant la Chambre de surveillance paraît dénué de chances de succès, de sorte que c'est à bon droit que l'assistance juridique a été refusée à la recourante même pour la prise en charge de l'avance de frais requise. Partant, le recours, infondé, sera rejeté.</w:t>
      </w:r>
    </w:p>
    <w:p>
      <w:r>
        <w:rPr>
          <w:b/>
        </w:rPr>
        <w:t>E. 3</w:t>
      </w:r>
    </w:p>
    <w:p>
      <w:r>
        <w:t>Sauf exceptions non réalisées en l'espèce, il n'est pas perçu de frais judiciaires pour la procédure d'assistance juridique (art. 119 al. 6 CPC). * * * * *</w:t>
      </w:r>
    </w:p>
    <w:p>
      <w:r>
        <w:t>- 9/9 -</w:t>
      </w:r>
    </w:p>
    <w:p>
      <w:r>
        <w:t>AC/3136/2015 PAR CES MOTIFS, LE VICE-PRÉSIDENT DE LA COUR : A la forme : Déclare recevable le recours formé par A______ contre la décision rendue le 19 novembre 2015 par le Vice-président du Tribunal civil dans la cause AC/3136/2015.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