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DAAJ/129/2025 vom 11. Juli 2025</w:t>
      </w:r>
    </w:p>
    <w:p>
      <w:r>
        <w:t>GE Cour de justice, 2025-07-11, FR</w:t>
      </w:r>
    </w:p>
    <w:p>
      <w:r>
        <w:rPr>
          <w:b/>
        </w:rPr>
        <w:t xml:space="preserve">Quelle: </w:t>
      </w:r>
      <w:r>
        <w:t>https://mcp.opencaselaw.ch/entscheid/ge_gerichte_DAAJ_129_2025</w:t>
      </w:r>
    </w:p>
    <w:p>
      <w:r>
        <w:t>FR: GE_GERICHTE DAAJ/129/2025 du 11 juillet 2025</w:t>
      </w:r>
    </w:p>
    <w:p>
      <w:r>
        <w:t>IT: GE_GERICHTE DAAJ/129/2025 del 11 luglio 2025</w:t>
      </w:r>
    </w:p>
    <w:p>
      <w:pPr>
        <w:pStyle w:val="Heading2"/>
      </w:pPr>
      <w:r>
        <w:t>Erwägungen</w:t>
      </w:r>
    </w:p>
    <w:p>
      <w:r>
        <w:rPr>
          <w:b/>
        </w:rPr>
        <w:t>E. 25</w:t>
      </w:r>
    </w:p>
    <w:p>
      <w:r>
        <w:t>mars 2025, a rejeté la requête. Elle a retenu que la recourante étant une société anonyme, elle ne remplissait pas les conditions d’octroi de l’assistance juridique. Elle n’avait notamment produit aucun document relatif à la situation financière de ses ayants droit économique et n’avait pas expliqué en quoi son seul actif serait en jeu, le litige portant sur le paiement d’une garantie. En outre, selon son bilan au 31 décembre 2023, la société semblait disposer d’actifs de plus de 35 millions. B. a. Recours est formé contre cette décision, par acte expédié le 28 juillet 2025 à la présidence de la Cour de justice. La recourante a conclu à l’annulation de la décision du 11 juillet 2025 et, cela fait, à ce que l’assistance juridique lui soit octroyée pour la procédure d’appel pendante devant la Cour. Elle a préalablement conclu à la restitution de l’effet suspensif attaché à son recours. Elle a allégué avoir produit de pièces nouvelles, sans toutefois les annexer, et proposé de produire des attestations d’insolvabilité des ayants droit économiques. b. La vice-présidence du Tribunal civil a renoncé à formuler des observations.</w:t>
      </w:r>
    </w:p>
    <w:p>
      <w:r>
        <w:t>- 3/5 -</w:t>
      </w:r>
    </w:p>
    <w:p>
      <w:r>
        <w:t>AC/1718/2025 EN DROIT 1. 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1.2. Le recours a été déposé dans le délai utile et selon la forme prescrite par la loi, sous réserve de l'exigence de motivation du recours qui fait l'objet du chiffre 3. ci-après. 2. Aux termes de l'art. 326 al. 1 CPC, les allégations de faits et les preuves nouvelles sont irrecevables dans le cadre d'un recours. Par conséquent, les allégués de faits dont la recourante n'a pas fait état en première instance ne seront pas pris en considération. 3. 3.1. Lorsque la Cour est saisie d'un recours (art. 121 CPC),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La motivation d'un recours (art. 321 al. 1 CPC)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1er septembre 2014 consid. 3.1). La juridiction de recours n'entre pas en matière sur un acte ne contenant aucune motivation par laquelle il est possible de discerner en quoi la juridiction inférieure a erré (art. 320 let. a et b CPC).</w:t>
      </w:r>
    </w:p>
    <w:p>
      <w:r>
        <w:t>- 4/5 -</w:t>
      </w:r>
    </w:p>
    <w:p>
      <w:r>
        <w:t>AC/1718/2025 3.2. En l'espèce, le recours ne respecte pas les conditions de motivation imposées par la loi. En effet, l'acte de recours est dépourvu de toute motivation et ne repose que sur des faits nouveaux, dont il ne peut être tenu compte au stade du recours (cf. consid. 2 ci- dessus). En particulier, la recourante ne critique pas la décision en tant qu'elle retient que l'une des conditions pour qu'une personne morale puisse obtenir le bénéfice de l'assistance juridique est que ses ayants droit économiques soient personnellement sans ressources (ATF 143 I 328 consid. 3.1 et les références citées, in RDAF 2018 I p. 327) et qu'elle n'a fourni aucune information s'agissant de l'insolvabilité de ses ayants droit économiques, dont elle n'a pas même donné l'identité. La recourante se contente de plaider que « les bénéficiaires économiques sont sans ressources personnelles mobilisables » comme en attesterait une correspondance datée du 25 mars 2025, étant relevé qu'il s'agit d’un document qui n'a pas été soumis au premier juge. Dans la mesure où l'absence de motivation de l'acte ne constitue pas un vice de forme réparable au sens de l'art. 132 CPC (HOHL, op. cit., n. 3030), il ne peut être entré en matière sur le recours, qui est dès lors déclaré irrecevable. 4. Sauf exceptions non réalisées en l'espèce, il n'est pas perçu de frais judiciaires pour la procédure d'assistance juridique (art. 119 al. 6 CPC). * * * * *</w:t>
      </w:r>
    </w:p>
    <w:p>
      <w:r>
        <w:t>- 5/5 -</w:t>
      </w:r>
    </w:p>
    <w:p>
      <w:r>
        <w:t>AC/1718/2025 PAR CES MOTIFS, LA VICE-PRÉSIDENTE DE LA COUR :</w:t>
      </w:r>
    </w:p>
    <w:p>
      <w:r>
        <w:t>Déclare irrecevable le recours formé par A______ SA contre la décision rendue le 11 juillet 2025 par la vice-présidence du Tribunal civil dans la cause AC/1718/2025.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