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DAAJ/129/2023 vom 7. Juli 2023</w:t>
      </w:r>
    </w:p>
    <w:p>
      <w:r>
        <w:t>GE Cour de justice, 2023-07-07, FR</w:t>
      </w:r>
    </w:p>
    <w:p>
      <w:r>
        <w:rPr>
          <w:b/>
        </w:rPr>
        <w:t xml:space="preserve">Quelle: </w:t>
      </w:r>
      <w:r>
        <w:t>https://mcp.opencaselaw.ch/entscheid/ge_gerichte_DAAJ_129_2023</w:t>
      </w:r>
    </w:p>
    <w:p>
      <w:r>
        <w:t>FR: GE_GERICHTE DAAJ/129/2023 du 7 juillet 2023</w:t>
      </w:r>
    </w:p>
    <w:p>
      <w:r>
        <w:t>IT: GE_GERICHTE DAAJ/129/2023 del 7 luglio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 Lorsque le requérant formule une véritable demande de reconsidération (Wiedererwägungsgesuch),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w:t>
      </w:r>
    </w:p>
    <w:p>
      <w:r>
        <w:t>- 4/5 -</w:t>
      </w:r>
    </w:p>
    <w:p>
      <w:r>
        <w:t>AC/853/2023 nouveaux justifient de modifier la décision initiale (arrêt du Tribunal fédéral 5A_403/2015 du 28 août 2015 consid. 7.2 et les références citées).</w:t>
      </w:r>
    </w:p>
    <w:p>
      <w:r>
        <w:t>L'assistance judiciaire est subsidiaire à l'obligation d'entretien du conjoint (ATF 138 III 672 consid. 4.2.1 et les références; arrêt du Tribunal fédéral 5A_456/2020 du</w:t>
      </w:r>
    </w:p>
    <w:p>
      <w:r>
        <w:rPr>
          <w:b/>
        </w:rPr>
        <w:t>E. 3.2</w:t>
      </w:r>
    </w:p>
    <w:p>
      <w:r>
        <w:t>En l'espèce, la recourante n'a pas donné suite à la demande de renseignement formulée par l'autorité précédente et relative à la prétendue prise en charge de son concubin, père de leur fille. Par conséquent, la recourante n'a apporté aucun élément démontrant que la situation avait changé depuis le prononcé de la précédente décision. Par ailleurs, elle ne pouvait pas se contenter d'affirmer devoir prendre en charge son compagnon, sans apporter la moindre preuve sur la situation financière de celui-ci, comme elle persiste à le faire dans son recours. Il n'existait donc pas d'obligation pour l'autorité précédente d'entrer en matière sur cette demande de reconsidération, faute de faits nouveaux. Ainsi, la décision entreprise est conforme au droit et sera confirmée. 4. Sauf exceptions non réalisées en l'espèce, il n'est pas perçu de frais judiciaires pour la procédure d'assistance juridique (art. 119 al. 6 CPC). * * * * *</w:t>
      </w:r>
    </w:p>
    <w:p>
      <w:r>
        <w:t>- 5/5 -</w:t>
      </w:r>
    </w:p>
    <w:p>
      <w:r>
        <w:t>AC/853/2023 PAR CES MOTIFS, LA VICE-PRÉSIDENTE DE LA COUR : A la forme : Déclare recevable le recours formé par A______ contre la décision rendue le 7 juillet 2023 par la vice-présidence du Tribunal civil dans la cause AC/853/2023.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7</w:t>
      </w:r>
    </w:p>
    <w:p>
      <w:r>
        <w:t>octobre 2020 consid. 5.2). Il n'existe pas, en revanche, d'obligation légale semblable entre concubins. Par analogie avec le calcul du minimum vital du droit des poursuites, la jurisprudence considère toutefois que le concubinage, lorsqu'en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du Tribunal fédéral 8C_65/2021 du 17 juin 2021 consid. 7 ; 8C_1008/2012 du 24 mai 2013 consid. 3.3.3 et 9C_859/2008 du 15 décembre 2008 consid. 3.4.1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