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DAAJ/129/2017 vom 5. September 2017</w:t>
      </w:r>
    </w:p>
    <w:p>
      <w:r>
        <w:t>GE Cour de justice, 2017-09-05, FR</w:t>
      </w:r>
    </w:p>
    <w:p>
      <w:r>
        <w:rPr>
          <w:b/>
        </w:rPr>
        <w:t xml:space="preserve">Quelle: </w:t>
      </w:r>
      <w:r>
        <w:t>https://mcp.opencaselaw.ch/entscheid/ge_gerichte_DAAJ_129_2017</w:t>
      </w:r>
    </w:p>
    <w:p>
      <w:r>
        <w:t>FR: GE_GERICHTE DAAJ/129/2017 du 5 septembre 2017</w:t>
      </w:r>
    </w:p>
    <w:p>
      <w:r>
        <w:t>IT: GE_GERICHTE DAAJ/129/2017 del 5 settembre 2017</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de la Présidente de la Cour de justice (art. 121 CPC, 21 al. 3 LaCC, 11 et 19 al. 5 RAJ).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 453).</w:t>
      </w:r>
    </w:p>
    <w:p>
      <w:r>
        <w:rPr>
          <w:b/>
        </w:rPr>
        <w:t>E. 2</w:t>
      </w:r>
    </w:p>
    <w:p>
      <w:r>
        <w:t>A teneur de l'art. 326 al. 1 CPC, les allégations de faits et les preuves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 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alinéa 1, du Code de procédure civile (art. 4 al. 1 RAJ). A l'issue de la procédure, le remboursement des prestations de l'Etat est réputé exigible à concurrence du versement de 60 mensualités, sous réserve de l'art. 123 du Code de procédure civile (art. 4 al. 2 RAJ).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(art. 19 al. 2 RAJ).</w:t>
      </w:r>
    </w:p>
    <w:p>
      <w:r>
        <w:t>- 4/5 -</w:t>
      </w:r>
    </w:p>
    <w:p>
      <w:r>
        <w:t>AC/2048/2015</w:t>
      </w:r>
    </w:p>
    <w:p>
      <w:r>
        <w:rPr>
          <w:b/>
        </w:rPr>
        <w:t>E. 3.2</w:t>
      </w:r>
    </w:p>
    <w:p>
      <w:r>
        <w:t>En l'espèce, contrairement à ce que fait valoir le recourant l'aide apportée par l'HOSPICE GENERAL va au-delà du minimum vital puisqu'elle comprend, s'agissant du recourant, des prestations incitatives versées en sus. Aussi le seul fait qu'il perçoive une aide de cette organisme de suffit pas à retenir qu'il n'est pas en mesure de procéder au remboursement sollicité par l'assistance juridique. C'est donc à juste titre que le premier juge a procédé à un examen des ressources et des charges du recourant. Compte tenu du fait que le recourant est le père de deux enfants et qu'il bénéficie d'une allocation logement, les charges de la famille s'élèvent à 3'886 fr. par mois, comprenant le loyer (886 fr., soit 1'736 fr. moins 850 fr. d'allocation logement) et les entretiens de base selon les normes OP pour toute la famille (1'700 fr. + 2 x 400 fr.) avec une marge de 20% sur les montants de bases (500 fr.) (ATF 129 III 385 consid. 5.1.2, arrêt du Tribunal fédéral 5C.107/2005 du 13 avril 2006). Il n'y a pas lieu de tenir compte des dettes du recourant auprès de l'Office des poursuites puisque ce dernier admet ne pas s'en acquitter. Le budget du recourant présente ainsi un déficit de 373 fr. 70 (2'912 fr. 30 + 600 fr. – 3'886 fr.), de telle sorte que c'est donc à tort que la Vice-présidente du Tribunal civil a condamné celui-ci au remboursement des prestations avancées par l'Etat. Le recours sera donc admis et la décision querellée sera annulée.</w:t>
      </w:r>
    </w:p>
    <w:p>
      <w:r>
        <w:rPr>
          <w:b/>
        </w:rPr>
        <w:t>E. 4</w:t>
      </w:r>
    </w:p>
    <w:p>
      <w:r>
        <w:t>Sauf exceptions non réalisées en l'espèce, il n'est pas perçu de frais judiciaires pour la procédure d'assistance juridique (art. 119 al. 6 CPC). * * * * *</w:t>
      </w:r>
    </w:p>
    <w:p>
      <w:r>
        <w:t>- 5/5 -</w:t>
      </w:r>
    </w:p>
    <w:p>
      <w:r>
        <w:t>AC/2048/2015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