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DAAJ/126/2019 vom 24. Juni 2019</w:t>
      </w:r>
    </w:p>
    <w:p>
      <w:r>
        <w:t>GE Cour de justice, 2019-06-24, FR</w:t>
      </w:r>
    </w:p>
    <w:p>
      <w:r>
        <w:rPr>
          <w:b/>
        </w:rPr>
        <w:t xml:space="preserve">Quelle: </w:t>
      </w:r>
      <w:r>
        <w:t>https://mcp.opencaselaw.ch/entscheid/ge_gerichte_DAAJ_126_2019</w:t>
      </w:r>
    </w:p>
    <w:p>
      <w:r>
        <w:t>FR: GE_GERICHTE DAAJ/126/2019 du 24 juin 2019</w:t>
      </w:r>
    </w:p>
    <w:p>
      <w:r>
        <w:t>IT: GE_GERICHTE DAAJ/126/2019 del 24 giugno 2019</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ainsi que la pièce nouvelle, dont le recourant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w:t>
      </w:r>
    </w:p>
    <w:p>
      <w:r>
        <w:t>- 4/11 -</w:t>
      </w:r>
    </w:p>
    <w:p>
      <w:r>
        <w:t>AC/1849/2019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3.3.1</w:t>
      </w:r>
    </w:p>
    <w:p>
      <w:r>
        <w:t>Le 1er janvier 2019, la loi fédérale sur les étrangers du 16 décembre 2005 (LEtr -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3.3.2</w:t>
      </w:r>
    </w:p>
    <w:p>
      <w:r>
        <w:t>En l’absence de disposition transitoire et dans la mesure où dans le cas particulier, l'application du nouveau droit ne conduirait pas à une issue différente que l'examen de l'affaire sous l'angle des anciennes dispositions, il y a lieu d'appliquer la LEtr dans sa teneur en vigueur jusqu'au 31 décembre 2018 (ATF 135 II 384 consid. 2.3). Cela étant,</w:t>
      </w:r>
    </w:p>
    <w:p>
      <w:r>
        <w:t>- 5/11 -</w:t>
      </w:r>
    </w:p>
    <w:p>
      <w:r>
        <w:t>AC/1849/2019 la chambre de céans, à l’instar du Tribunal fédéral, dénommera ci-après LEI les dispositions qui n’ont pas changé au 1er janvier 2019 et « ancien art. LEtr » dans le cas contraire (arrêts du Tribunal fédéral 2C_1133/2018 du 18 février 2019 consid. 5; 2C_1151/2018 du 15 janvier 2019 consid. 6.1). Quant à l’OASA et/ou l’OEI, elles seront citées dans leur teneur en vigueur jusqu'au 31 décembre 2018.</w:t>
      </w:r>
    </w:p>
    <w:p>
      <w:r>
        <w:rPr>
          <w:b/>
        </w:rPr>
        <w:t>E. 3.4</w:t>
      </w:r>
    </w:p>
    <w:p>
      <w:r>
        <w:t>3.4.1. Les fiancés qui ne sont pas citoyens suisses doivent établir la légalité de leur séjour en Suisse au cours de leur procédure préparatoire du mariage (art. 98 al. 4 du Code civil suisse du 10 décembre l907 - CC - RS 210).</w:t>
      </w:r>
    </w:p>
    <w:p>
      <w:r>
        <w:rPr>
          <w:b/>
        </w:rPr>
        <w:t>E. 3.4.2</w:t>
      </w:r>
    </w:p>
    <w:p>
      <w:r>
        <w:t>La LEI et ses ordonnances d'exécution, parmi lesquelles l'OASA règlent l'entrée, le séjour et la sortie de Suisse des étrangers dont le statut juridique n'est pas déterminé par d'autres dispositions du droit fédéral ou par des traités internationaux conclus par la Suisse (art. 1 et 2 LEI), ce qui est le cas pour le Maroc.</w:t>
      </w:r>
    </w:p>
    <w:p>
      <w:r>
        <w:rPr>
          <w:b/>
        </w:rPr>
        <w:t>E. 3.5</w:t>
      </w:r>
    </w:p>
    <w:p>
      <w:r>
        <w:t>3.5.1. L'art. 30 al. 1 let. b LEI permet de déroger aux conditions d'admission en Suisse telles que prévues aux art. 18 à 29 LEI dans le but de tenir compte des cas individuels d'une extrême gravité ou d'intérêts publics majeurs. A teneur de l'ancien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(ATA/357/2018 du 17 avril 2018 consid. 5b; Directives du SEM, domaine des étrangers, 2013, état au 1er juillet 2018, ch. 5.6.12).</w:t>
      </w:r>
    </w:p>
    <w:p>
      <w:r>
        <w:rPr>
          <w:b/>
        </w:rPr>
        <w:t>E. 3.5.2</w:t>
      </w:r>
    </w:p>
    <w:p>
      <w:r>
        <w:t>Selon les Directives SEM et en application de l'art. 30 al. 1 let. b LEI, en relation avec l'ancien 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(ch. 5.6.6).</w:t>
      </w:r>
    </w:p>
    <w:p>
      <w:r>
        <w:t>- 6/11 -</w:t>
      </w:r>
    </w:p>
    <w:p>
      <w:r>
        <w:t>AC/1849/2019 Le partenaire d'un citoyen suisse, d'un étranger titulaire d'une autorisation d'établissement ou d'une personne au bénéfice d'une autorisation de séjour à l'année (titre de séjour C ou B) peut obtenir une autorisation de séjour en application de l'art. 30 al. 1 let. b LEI lorsque les conditions cumulatives suivantes sont remplies : - l'existence d'une relation stable d'une certaine durée est démontrée et - l'intensité de la relation est confirmée par d'autres éléments, tels que : - une convention entre concubins réglant la manière et l'étendue d'une prise en charge des devoirs d'assistance (par exemple un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LEtr, en relation avec l'art. 62 LEI); - le couple concubin vit ensemble en Suisse (Directives SEM précitées, ch. 3.6.3).</w:t>
      </w:r>
    </w:p>
    <w:p>
      <w:r>
        <w:rPr>
          <w:b/>
        </w:rPr>
        <w:t>E. 3.5.3</w:t>
      </w:r>
    </w:p>
    <w:p>
      <w:r>
        <w:t>Les dispositions dérogatoires de l'art. 30 LEI et 31 OASA présentent un caractère exceptionnel et les conditions pour la reconnaissance d'une telle situation doivent être appréciées de manière restrictive (ATF 128 II 200 consid. 4; ATA/353/2019 du 2 avril 2019 consid. 5c; ATA/38/2019 du 15 janvier 2019 consid. 4c).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précité consid. 4c; Directives SEM, op. cit., ch. 5.6).</w:t>
      </w:r>
    </w:p>
    <w:p>
      <w:r>
        <w:rPr>
          <w:b/>
        </w:rPr>
        <w:t>E. 3.5.4</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124 II 110 consid. 3; arrêts du Tribunal fédéral 2C_754/2018 du 28 janvier 2019 consid. 7.2; 2A_718/2006 du 21 mars 2007 consid. 3; ATA/181/2019 du 26 février 2019 consid. 13d).</w:t>
      </w:r>
    </w:p>
    <w:p>
      <w:r>
        <w:t>- 7/11 -</w:t>
      </w:r>
    </w:p>
    <w:p>
      <w:r>
        <w:t>AC/1849/2019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arrêts du Tribunal administratif fédéral [ci-après : TAF] C-5414/2013 du 30 juin 2015 consid. 5.1.4; C-6379/2012 et C-6377/2012 du 17 novembre 2014 consid. 4.3; C-1240/2012 du 24 juillet 2014 consid. 5.3; ATA/353/2019 précité consid. 5d; ATA/38/2019 précité consid. 4d).</w:t>
      </w:r>
    </w:p>
    <w:p>
      <w:r>
        <w:rPr>
          <w:b/>
        </w:rPr>
        <w:t>E. 3.5.5</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arrêts du Tribunal fédéral 2A_245/2004 du 13 juillet 2004 consid. 4.2.1; 2A_255/1994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ATA/828/2016 du 4 octobre 2016 consid. 6d). La question est donc de savoir si, en cas de retour dans le pays d'origine, les conditions de sa réintégration sociale, au regard de la situation personnelle, professionnelle et familiale de l'intéressé, seraient gravement compromises (ATA/353/2019 précité consid. 5d; arrêts du Tribunal fédéral 2C_621/2015 du 11 décembre 2015 consid. 5.2.1; 2C_369/2010 du 4 novembre 2010 consid. 4.1).</w:t>
      </w:r>
    </w:p>
    <w:p>
      <w:r>
        <w:rPr>
          <w:b/>
        </w:rPr>
        <w:t>E. 3.5.6</w:t>
      </w:r>
    </w:p>
    <w:p>
      <w:r>
        <w:t>Enfin,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ATA/895/2019 du 14 mai 2019 consid. 6f;</w:t>
      </w:r>
    </w:p>
    <w:p>
      <w:r>
        <w:t>- 8/11 -</w:t>
      </w:r>
    </w:p>
    <w:p>
      <w:r>
        <w:t>AC/1849/2019 ATA/1234/2017 du 29 août 2017 consid. 7a; ATA/609/2017 du 30 mai 2017 consid. 9e).</w:t>
      </w:r>
    </w:p>
    <w:p>
      <w:r>
        <w:rPr>
          <w:b/>
        </w:rPr>
        <w:t>E. 3.5.7</w:t>
      </w:r>
    </w:p>
    <w:p>
      <w:r>
        <w:t>En l'espèce, le recourant reconnaît que le mariage avec C______ n'est plus d'actualité et qu'il ne fait plus ménage commun avec elle depuis le 18 janvier 2019. Compte tenu de ces éléments, le recourant ne paraît pas pouvoir revendiquer une autorisation de séjour de durée limitée en vue de préparation de mariage. Le recourant, aujourd'hui âgé de 32 ans, est en Suisse depuis le 30 janvier 2013. Il est ainsi en Suisse depuis plus de six ans. Toutefois, la durée de ce séjour doit être relativisée au motif qu'il a été toléré en vue du mariage avec C______, jamais concrétisé. Son intégration socio-professionnelle n'apparaît pas exceptionnelle au sens de la jurisprudence précitée, le recourant ayant travaillé dans la restauration entre l'été 2017 et le 28 novembre 2017, jour de son accident. Il est depuis soutenu par l'Hospice général. Il n'a de plus pas allégué avoir noué de relations devant être qualifiées d'exceptionnelles ni avoir de la famille en Suisse. Au contraire, il ressort de la décision de l'OCPM du 20 mai 2019 que le recourant a séjourné récemment pendant trois mois au Maroc pour des motifs familiaux. L’argument du recourant selon lequel il doit être mis au bénéfice d’une autorisation de séjourner en Suisse pour pouvoir se défendre utilement face à son ancien employeur ne paraît pas apte à justifier une dérogation aux mesures de limitation. En effet, il n'a pas allégué que sa présence en Suisse serait indispensable pour y faire valoir ses droits. Au surplus, le Code de procédure civile du 19 décembre 2008 (CPC - RS 272), en son art. 68 al. 2 let. d CPC, ainsi que l’art. 15 de la loi d'application du code civil suisse et autres lois fédérales en matière civile du 11 octobre 2012 (LaCC - E 1 05) permettent au contraire qu’un demandeur puisse être représenté par un mandataire professionnelle- ment qualifié devant le Tribunal des prud’hommes ainsi que, cas échéant, devant la chambre des prud’hommes de la Cour de justice. Il semble d'ailleurs que cela soit le cas, puisqu'il a expliqué dans son recours que le [syndicat] D______ « fai[sait] le nécessaire contre son employeur ». A priori, sa réintégration sociale et professionnelle au Maroc n'est pas compromise. Le recourant y a en effet vécu toute son enfance, son adolescence et une bonne partie de sa vie d'adulte. La présence de sa famille pourrait également faire fonction de soutien dans ce cadre. S'agissant de son état de santé, le recourant se trouverait sous antidépresseurs. Toutefois, de jurisprudence constante, la meilleure qualité de soins en Suisse ne constitue pas un critère entrant en considération pour décider de l’octroi ou non d’un permis pour cas d’extrême gravité. Par ailleurs, il ressort d'un arrêt de la chambre administrative portant sur un ressortissant marocain souffrant notamment de dépression et d'alcoolisme grave (ATA/462/2010 du 29 juin 2010 consid. 7b) que des possibilités</w:t>
      </w:r>
    </w:p>
    <w:p>
      <w:r>
        <w:t>- 9/11 -</w:t>
      </w:r>
    </w:p>
    <w:p>
      <w:r>
        <w:t>AC/1849/2019 de suivi médical d'un niveau suffisant existent au Maroc. Un renvoi dans ce pays est donc possible sans que cela conduise inéluctablement à la péjoration de l'état de santé du recourant consécutive à un manque de soins où à la mise en danger de sa vie pour ce même motif. Au vu de ces éléments, il ne semble pas que le recourant remplisse les conditions pour pouvoir bénéficier d'une autorisation de séjour pour cas de rigueur au sens de l'art. 30 al. 1 let. b LEI.</w:t>
      </w:r>
    </w:p>
    <w:p>
      <w:r>
        <w:rPr>
          <w:b/>
        </w:rPr>
        <w:t>E. 3.6</w:t>
      </w:r>
    </w:p>
    <w:p>
      <w:r>
        <w:t>Aux termes de l'art. 64 al. 1 let. c LEI, tout étranger dont l'autorisation est refusée, révoquée ou n'est pas prolongée après un séjour autorisé est renvoyé. La décision de renvoi est assortie d'un délai de départ raisonnable (art. 64d al. 1 LEI).</w:t>
      </w:r>
    </w:p>
    <w:p>
      <w:r>
        <w:rPr>
          <w:b/>
        </w:rPr>
        <w:t>E. 3.6.1</w:t>
      </w:r>
    </w:p>
    <w:p>
      <w:r>
        <w:t>Les autorités cantonales peuvent toutefois proposer au SEM d'admettre provisoirement un étranger si l'exécution du renvoi ou de l'expulsion n'est pas possible, n'est pas licite ou ne peut être raisonnablement exigée (art. 83 al. 1 et 6 LEI). La portée de cette disposition étant similaire à celle de l'art. 14a de l'ancienne loi sur le séjour et l'établissement des étrangers du 26 mars 1931 (aLSEE), la jurisprudence rendue ou la doctrine éditée en rapport avec cette disposition légale reste d'actualité (ATA/801/2018 du 7 août 2018 consid. 10b; ATA/505/2016 du 14 juin 2016 consid. 7a et les références citées).</w:t>
      </w:r>
    </w:p>
    <w:p>
      <w:r>
        <w:rPr>
          <w:b/>
        </w:rPr>
        <w:t>E. 3.6.2</w:t>
      </w:r>
    </w:p>
    <w:p>
      <w:r>
        <w:t>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arrêt du TAF E-7712/2008 du 19 avril 2011 consid. 6.1; ATA/895/2019 précité consid. 7c; ATA/801/2018 précité consid. 10c et l'arrêt cité).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Tatar c. Suisse du 14 avril 2015, req. 65692/12, § 43 et 50; ATAF 2011/9 consid. 7.1; ATAF 2009/2 consid. 9.1.2 ss; arrêts du TAF D-1958/2015 du 24 avril 2015; E-2840/2010 du 3 mai 2010; ATA/801/2018 précité consid. 10c).</w:t>
      </w:r>
    </w:p>
    <w:p>
      <w:r>
        <w:rPr>
          <w:b/>
        </w:rPr>
        <w:t>E. 3.6.3</w:t>
      </w:r>
    </w:p>
    <w:p>
      <w:r>
        <w:t>L'exécution de la décision ne peut être raisonnablement exigée si le renvoi ou l'expulsion de l'étranger dans son pays d'origine ou de provenance le met concrètement</w:t>
      </w:r>
    </w:p>
    <w:p>
      <w:r>
        <w:t>- 10/11 -</w:t>
      </w:r>
    </w:p>
    <w:p>
      <w:r>
        <w:t>AC/1849/2019 en danger,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ATA/895/2019 précité consid. 7d; ATA/801/2018 précité consid. 10d et les arrêts cités).</w:t>
      </w:r>
    </w:p>
    <w:p>
      <w:r>
        <w:rPr>
          <w:b/>
        </w:rPr>
        <w:t>E. 3.6.4</w:t>
      </w:r>
    </w:p>
    <w:p>
      <w:r>
        <w:t>En l'occurrence, comme vu ci-dessus, la prise en charge médicale du recourant dans son pays d'origine semble possible. Il n'apparaît ainsi a priori pas que l'exécution du retour du recourant dans son pays d'origine serait illicite, ne serait pas possible ou ne pourrait pas raisonnablement être exigée. Compte tenu de ce qui précède, c'est de manière conforme au droit que l'autorité de première instance a refusé d'octroyer le bénéfice de l'assistance juridique au recourant, au motif que le recours interjeté contre la décision de l'OCPM du 20 mai 2019 paraissait dénué de chances de succès. Partant, le recours, infondé, sera rejeté.</w:t>
      </w:r>
    </w:p>
    <w:p>
      <w:r>
        <w:rPr>
          <w:b/>
        </w:rPr>
        <w:t>E. 4</w:t>
      </w:r>
    </w:p>
    <w:p>
      <w:r>
        <w:t>Sauf exceptions non réalisées en l'espèce, il n'est pas perçu de frais judiciaires pour la procédure d'assistance juridique (art. 119 al. 6 CPC). * * * * *</w:t>
      </w:r>
    </w:p>
    <w:p>
      <w:r>
        <w:t>- 11/11 -</w:t>
      </w:r>
    </w:p>
    <w:p>
      <w:r>
        <w:t>AC/1849/2019 PAR CES MOTIFS, LE VICE-PRÉSIDENT DE LA COUR : A la forme : Déclare recevable le recours formé par A______ contre la décision rendue le 24 juin 2019 par le Vice-président du Tribunal civil dans la cause AC/1849/2019.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