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DAAJ/126/2016 vom 30. August 2016</w:t>
      </w:r>
    </w:p>
    <w:p>
      <w:r>
        <w:t>GE Cour de justice, 2016-08-30, FR</w:t>
      </w:r>
    </w:p>
    <w:p>
      <w:r>
        <w:rPr>
          <w:b/>
        </w:rPr>
        <w:t xml:space="preserve">Quelle: </w:t>
      </w:r>
      <w:r>
        <w:t>https://mcp.opencaselaw.ch/entscheid/ge_gerichte_DAAJ_126_2016</w:t>
      </w:r>
    </w:p>
    <w:p>
      <w:r>
        <w:t>FR: GE_GERICHTE DAAJ/126/2016 du 30 août 2016</w:t>
      </w:r>
    </w:p>
    <w:p>
      <w:r>
        <w:t>IT: GE_GERICHTE DAAJ/126/2016 del 30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- 4/8 -</w:t>
      </w:r>
    </w:p>
    <w:p>
      <w:r>
        <w:t>AC/1935/2016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nouvellement produites par le recourant et les éléments de fait s'y rapportant (notamment concernant la taxe foncière 2016)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Les bases mensuelles d'entretien sont réduites de 15% pour les personnes domiciliées en France, le coût de la vie y étant moins élevé qu'en Suisse (SJ 2000 II 211, p. 214). Le requérant doit fournir les renseignements et les pièces nécessaires à l'appréciation des mérites de sa cause et de sa situation personnelle (art. 9 al. 1 RAJ). Il doit, de même, justifier de sa situation financière (al. 2).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Dans tous les cas,</w:t>
      </w:r>
    </w:p>
    <w:p>
      <w:r>
        <w:t>- 5/8 -</w:t>
      </w:r>
    </w:p>
    <w:p>
      <w:r>
        <w:t>AC/1935/2016 seules les charges réellement acquittées sont susceptibles d'entrer dans le calcul du minimum vital (ATF 135 I 221 consid. 5.1).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 3.2.1. En l'espèce, le recourant soutient qu'il est injuste de supprimer tout loyer de ses charges, puisqu'en réalité, il doit bien s'acquitter du remboursement de la dette hypothécaire de sa maison de D______, soit un montant de 3'240 fr. environ par mois. Le fait que ce montant corresponde au remboursement de la dette relative à son bien sis à D______ et non à C______, où il vit, n'est que fortuit et résulte des conditions contractuelles bancaires négociées à l'époque. Cette circonstance ne devrait pas le priver du droit de voir ce montant de loyer imputé à ses charges dans le cadre de sa demande d'assistance juridique. Le contraire reviendrait à le punir pour ses efforts de renégociation de sa dette hypothécaire, car s'il ne l'avait pas fait, le montant de 4'111 EUR aurait été pris en considération dans ses charges, de sorte que son disponible mensuel serait négatif. Quand bien même le raisonnement du recourant est compréhensible, son grief est dénué de fondement, puisque le fait qu'il soit propriétaire de deux biens immobiliers semble déjà suffire pour exclure que la condition d'indigence soit remplie. A noter qu'au moment où le recourant a déposé sa requête d'assistance juridique, il avait, pendant un certain temps, mis sa maison de C______ en location et loué un camping-car au prix de 2'800 EUR, plutôt que de vivre dans sa seconde maison, à D______, ce qui ne semble pas non plus refléter une situation d'indigence. Le recourant a certes entrepris des démarches pour adapter sa situation à ses revenus, puisqu'il a négocié une suspension du remboursement de la dette hypothécaire concernant l'un des deux biens immobiliers dont il est propriétaire. Cela ne justifie pas pour autant de tenir compte des frais relatifs</w:t>
      </w:r>
    </w:p>
    <w:p>
      <w:r>
        <w:t>- 6/8 -</w:t>
      </w:r>
    </w:p>
    <w:p>
      <w:r>
        <w:t>AC/1935/2016 à la maison de D______, lesquels ne constituent pas une dépense de stricte nécessité, puisqu'il s'agit d'une résidence secondaire. Il est ainsi conforme aux principes rappelés ci-dessus d'exclure les frais en question. Les charges admissibles du ménage du recourant s'élèvent ainsi à 4'980 fr., comprenant 320 fr. de taxe foncière et de frais d'électricité mensualisés concernant la maison sise à C______, 1'606 fr. de pensions alimentaires, selon les paiements prouvés entre avril et juin 2016, 300 fr. de forfait de déplacement, 2'295 fr. d'entretien de base OP pour le ménage ([1'700 fr. + 400 fr. + 600 fr.] – réduction de 15% vu le coût de la vie inférieur en France qu'en Suisse), ainsi qu'une majoration de 459 fr. correspondant à 20% de ce dernier montant. La taxe d'habitation alléguée pour la maison de C______ ne sera pas prise en compte, puisqu'elle ne résulte pas des pièces produites. Le disponible mensuel du ménage précité se monte ainsi à 2'000 fr. (6980 fr. – 4'980 fr.), ce montant étant suffisant pour prendre en charge les honoraires d'avocat du recourant et l'émolument de conciliation, fixé au maximum à 200 fr. (art. 19 al. 3 Loi d'application du code civil suisse et d'autres lois fédérales en matière civile). 3.2.2. Le recourant sollicite l'assistance juridique également pour l'exonération de l'avance de frais qui sera vraisemblablement requise lors de l'introduction de la cause après l'échec de la tentative de conciliation. Il conteste ainsi implicitement de devoir déposer une nouvelle requête d'assistance juridique à cette fin. Sur ce point, le grief est fondé, puisque la règle est en principe l'octroi complet pour l'ensemble d'une instance, procédure de conciliation comprise (cf. DAAJ/67/2016, DAAJ/16/2014 ; TAPPY, Code de procédure civile commenté, 2011, n. 23 ad art. 118 CPC). Selon l'art. 69 Règlement fixant le tarif des frais en matière civile, lorsque la valeur litigieuse se situe entre 300'001 fr. et 1'000'000 fr. devant le Tribunal des prud'hommes, l'émolument forfaitaire de décision est fixé entre 2'000 fr. et 8'000 fr. L'avance de frais qui sera requise ne dépassera ainsi pas 8'000 fr. Dans la mesure où le solde disponible du recourant (2'000 fr.) permet d'amortir en moins d'une année les frais judiciaires et d'avocat prévisibles, la condition d'indigence n'est pas remplie. A noter que si le montant de 2'000 fr. ne permet pas au recourant de s'acquitter en une fois de l'avance de frais qui pourrait lui être demandée, il peut raisonnablement être exigé de lui qu'il requière un crédit garanti par l'un de ses biens immobiliers, ce qui lui permettrait de disposer des liquidités nécessaires. 3.2.3. Compte tenu de l'ensemble de ce qui précède, c'est à bon droit que l'Autorité de première instance a refusé d'octroyer l'assistance juridique au recourant au motif qu'il ne remplissait pas la condition d'indigence.</w:t>
      </w:r>
    </w:p>
    <w:p>
      <w:r>
        <w:t>- 7/8 -</w:t>
      </w:r>
    </w:p>
    <w:p>
      <w:r>
        <w:t>AC/1935/2016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- 8/8 -</w:t>
      </w:r>
    </w:p>
    <w:p>
      <w:r>
        <w:t>AC/1935/2016 PAR CES MOTIFS, LE VICE-PRÉSIDENT DE LA COUR : A la forme : Déclare recevable le recours formé par A______ contre la décision rendue le 30 août 2016 par le Vice-président du Tribunal civil dans la cause AC/1935/2016. Au fond : Le rejette. Déboute A______ de toutes autres conclusions. Dit qu'il n'est pas perçu de frais judiciaires pour le recours, ni alloué de dépens. Notifie une copie de la présente décision à A______ en l'Étude de Me Etienne PATROCLE (art. 137 CPC).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