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DAAJ/124/2021 vom 5. Oktober 2021</w:t>
      </w:r>
    </w:p>
    <w:p>
      <w:r>
        <w:t>GE Cour de justice, 2021-10-05, FR</w:t>
      </w:r>
    </w:p>
    <w:p>
      <w:r>
        <w:rPr>
          <w:b/>
        </w:rPr>
        <w:t xml:space="preserve">Quelle: </w:t>
      </w:r>
      <w:r>
        <w:t>https://mcp.opencaselaw.ch/entscheid/ge_gerichte_DAAJ_124_2021</w:t>
      </w:r>
    </w:p>
    <w:p>
      <w:r>
        <w:t>FR: GE_GERICHTE DAAJ/124/2021 du 5 octobre 2021</w:t>
      </w:r>
    </w:p>
    <w:p>
      <w:r>
        <w:t>IT: GE_GERICHTE DAAJ/124/2021 del 5 ottobre 2021</w:t>
      </w:r>
    </w:p>
    <w:p>
      <w:pPr>
        <w:pStyle w:val="Heading2"/>
      </w:pPr>
      <w:r>
        <w:t>Erwägungen</w:t>
      </w:r>
    </w:p>
    <w:p>
      <w:r>
        <w:rPr>
          <w:b/>
        </w:rPr>
        <w:t>E. 1.1</w:t>
      </w:r>
    </w:p>
    <w:p>
      <w:r>
        <w:t>La procédure en interprétation ou en rectification du dispositif d'une décision en force est réglée à l'art. 334 CPC. La requête en rectification doit indiquer les passages contestés ou les modifications demandées (art. 334 al. 1 CPC in fine). Le CPC ne prévoit aucun délai dans lequel la demande doit être déposée après la communication de la décision à interpréter. Selon la doctrine, le tribunal compétent est celui qui a statué (FREIBURGHAUS/AFHELDT, in Kommentar zur Schweizerischen Zivilprozessordnung, Sutter-Somm et al. [éd.], 3ème éd., n. 4 ad art. 334 CPC).</w:t>
      </w:r>
    </w:p>
    <w:p>
      <w:r>
        <w:rPr>
          <w:b/>
        </w:rPr>
        <w:t>E. 1.2</w:t>
      </w:r>
    </w:p>
    <w:p>
      <w:r>
        <w:t>En l'espèce, la requête en rectification formée par la requérante respecte ces conditions de forme, de sorte qu'elle est de ces points de vue recevable.</w:t>
      </w:r>
    </w:p>
    <w:p>
      <w:r>
        <w:rPr>
          <w:b/>
        </w:rPr>
        <w:t>E. 2.1</w:t>
      </w:r>
    </w:p>
    <w:p>
      <w:r>
        <w:t>Selon l'art. 334 al. 1 CPC, si le dispositif de la décision est peu clair, contradictoire ou incomplet, ou s'il ne correspond pas à la motivation, le Tribunal procède, sur requête, ou d'office, à l'interprétation ou à la rectification de la décision. En revanche, la correction d'erreurs qui procèdent d'une mauvaise application du droit ou d'une constatation inexacte des faits doit être effectuée par la voie d'un recours (HERZOG, in Basler Kommentar, Schweizerische Zivilprozessordnung, 2017, n. 8 ad art. 334 CPC; OBERHAMMER, Kurzkommentar ZPO, 2014, n. 4 ad art. 334 CPC). En principe, l'interprétation a pour objet le dispositif de l'arrêt, qui seul jouit de l'autorité de la chose jugée, et non ses motifs. Ceux-ci peuvent seulement servir à interpréter le dispositif. Ainsi, selon la jurisprudence relative à l'ancien droit, mais toujours applicable à l'art. 129 LTF, l'interprétation tend à remédier à une formulation du dispositif qui serait peu claire, incomplète, équivoque ou contradictoire en elle-même ou avec les motifs. Plus précisément, un dispositif est peu clair, et doit donc être interprété, lorsque</w:t>
      </w:r>
    </w:p>
    <w:p>
      <w:r>
        <w:t>- 4/5 -</w:t>
      </w:r>
    </w:p>
    <w:p>
      <w:r>
        <w:t>AC/3723/2017 les parties ou les autorités à qui la cause est renvoyée risquent subjectivement de comprendre la décision autrement que ce que voulait le tribunal lorsqu'il s'est prononcé (arrêt du Tribunal fédéral 2C_724/2010 du 27 juillet 2011 consid. 2.2 et réf., RDAF 2012 II 37). L'interprétation a également pour but de rectifier des fautes de rédaction, de pures fautes de calcul ou des erreurs d'écriture que le dispositif contiendrait (arrêts du Tribunal fédéral 1G_4/2012 du 30 avril 2012 consid. 1.1 ; 1G_1/2011 du 12 avril 2011 consid. 2; 5G_1/2008 du 17 novembre 2008 consid. 1.1 ; 4G_1/2007 du 13 septembre 2007 consid. 2.1). Néanmoins, l'interprétation peut aussi avoir pour objet les motifs de l'arrêt eux-mêmes lorsque le dispositif y renvoie et qu'ils participent de ce fait à l'ordre du juge, notamment lorsqu'il s'agit d'un arrêt de renvoi dans le sens des considérants (ATF 104 V 51 consid. 1; 110 V 222 consid. 1 et réf. ; arrêt du Tribunal fédéral 5G_1/2012 du 4 juillet 2012 consid. 1.1).</w:t>
      </w:r>
    </w:p>
    <w:p>
      <w:r>
        <w:rPr>
          <w:b/>
        </w:rPr>
        <w:t>E. 2.2</w:t>
      </w:r>
    </w:p>
    <w:p>
      <w:r>
        <w:t>En l'espèce, dans sa décision du 13 avril 2021, le Vice-président de la Cour de justice a considéré que le conseil de la requérante pouvait se voir rembourser les prestations effectuées en vue de la rédaction du mémoire déposé le 4 septembre 2020, ce qui implique, par la force des choses, le remboursement des frais découlant du travail effectué en amont dudit dépôt en lien (exclusif) avec cette écriture. Ces considérations sont claires et ne méritent aucune rectification. La requête sera par conséquent rejetée.</w:t>
      </w:r>
    </w:p>
    <w:p>
      <w:r>
        <w:rPr>
          <w:b/>
        </w:rPr>
        <w:t>E. 3</w:t>
      </w:r>
    </w:p>
    <w:p>
      <w:r>
        <w:t>Il ne sera pas perçu de frais judiciaires sur rectification ni alloué de dépens. * * * * *</w:t>
      </w:r>
    </w:p>
    <w:p>
      <w:r>
        <w:t>- 5/5 -</w:t>
      </w:r>
    </w:p>
    <w:p>
      <w:r>
        <w:t>AC/3723/2017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