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DAAJ/121/2013 vom 30. Oktober 2013</w:t>
      </w:r>
    </w:p>
    <w:p>
      <w:r>
        <w:t>GE Cour de justice, 2013-10-30, FR</w:t>
      </w:r>
    </w:p>
    <w:p>
      <w:r>
        <w:rPr>
          <w:b/>
        </w:rPr>
        <w:t xml:space="preserve">Quelle: </w:t>
      </w:r>
      <w:r>
        <w:t>https://mcp.opencaselaw.ch/entscheid/ge_gerichte_DAAJ_121_2013</w:t>
      </w:r>
    </w:p>
    <w:p>
      <w:r>
        <w:t>FR: GE_GERICHTE DAAJ/121/2013 du 30 octobre 2013</w:t>
      </w:r>
    </w:p>
    <w:p>
      <w:r>
        <w:t>IT: GE_GERICHTE DAAJ/121/2013 del 30 ottobre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Pour déterminer l'indigence, il convient de prendre en considération l'ensemble de la situation financière du requérant au moment où la demande est présentée, celui-ci devant indiquer de manière complète et établir autant que faire se peut ses revenus, sa</w:t>
      </w:r>
    </w:p>
    <w:p>
      <w:r>
        <w:t>- 4/6 -</w:t>
      </w:r>
    </w:p>
    <w:p>
      <w:r>
        <w:t>AC/1752/2012 situation de fortune et ses charges.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Dans tous les cas, seules les charges réellement acquittées sont susceptibles d'entrer dans le calcul du minimum vital (ATF 135 I 221 consid. 5.1).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A teneur des normes d'insaisissabilité pour l'année 2013,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 DAAJ/19/2012 du 8 mars 2012 consid. 3 ; DAAJ/48/2013 du 6 juin 2013 consid. 3.4).</w:t>
      </w:r>
    </w:p>
    <w:p>
      <w:r>
        <w:rPr>
          <w:b/>
        </w:rPr>
        <w:t>E. 3.2</w:t>
      </w:r>
    </w:p>
    <w:p>
      <w:r>
        <w:t>En l'espèce, conformément aux principes exposés ci-dessus, c'est à bon droit que le premier juge a réduit de moitié le montant de l'entretien de base OP défini pour un couple marié, en raison de la communauté de vie réduisant les coûts, les logeurs de la recourante disposant vraisemblablement également de revenus. En effet, la recourante</w:t>
      </w:r>
    </w:p>
    <w:p>
      <w:r>
        <w:t>- 5/6 -</w:t>
      </w:r>
    </w:p>
    <w:p>
      <w:r>
        <w:t>AC/1752/2012 n'a pas rendu vraisemblable qu'elle ne partageait pas les charges du ménage commun avec ses logeurs (hormis le loyer) et qu'ils ne feraient pas table commune. Par ailleurs, même si la recourante a prouvé qu'elle s'acquittait de certains frais (remboursement de l'hypothèque et prime d'assurance liée à ce prêt hypothécaire) relatifs à la villa dont elle est copropriétaire, il n'est pas arbitraire de ne pas en tenir compte dans l'établissement de ses charges. En effet, le jugement du TPI du 19 novembre 2009 (JTPI/______) et l'arrêt de la Cour du 17 décembre 2010 (ACJC/______) ayant condamné le mari de la recourante à s'acquitter de ces frais, la recourante a la possibilité d'agir contre ce dernier pour se faire rembourser les montants qu'il ne lui incombait pas de verser à la banque. En outre, la recourante semble disposer de revenus complémentaires, au vu des montants de 200 EUR à 500 EUR crédités mensuellement sur son compte auprès du CREDIT AGRICOLE ______. Pour le surplus, la recourante n'a pas rendu vraisemblable que la villa susmentionnée est hypothéquée à son maximum. Compte tenu de l'ensemble des éléments qui précèdent, le premier juge a, à juste titre, refusé d'accorder une extension de l'assistance juridique à la recourante, au motif que la condition de l'indigence n'était pas remplie. Partant, le recours, infondé, sera rejeté.</w:t>
      </w:r>
    </w:p>
    <w:p>
      <w:r>
        <w:rPr>
          <w:b/>
        </w:rPr>
        <w:t>E. 4</w:t>
      </w:r>
    </w:p>
    <w:p>
      <w:r>
        <w:t>Sauf exceptions non réalisées en l'espèce, il n'est pas perçu de frais judiciaires pour la procédure d'assistance juridique (art. 119 al. 6 CPC). * * * * *</w:t>
      </w:r>
    </w:p>
    <w:p>
      <w:r>
        <w:t>- 6/6 -</w:t>
      </w:r>
    </w:p>
    <w:p>
      <w:r>
        <w:t>AC/1752/2012</w:t>
      </w:r>
    </w:p>
    <w:p>
      <w:r>
        <w:t>PAR CES MOTIFS, LA VICE-PRÉSIDENTE DE LA COUR : À la forme : Déclare recevable le recours formé par A______ contre la décision rendue le 30 octobre 2013 par la Vice-présidente du Tribunal civil dans la cause AC/1752/2012.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