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DAAJ/120/2013 vom 3. Oktober 2013</w:t>
      </w:r>
    </w:p>
    <w:p>
      <w:r>
        <w:t>GE Cour de justice, 2013-10-03, FR</w:t>
      </w:r>
    </w:p>
    <w:p>
      <w:r>
        <w:rPr>
          <w:b/>
        </w:rPr>
        <w:t xml:space="preserve">Quelle: </w:t>
      </w:r>
      <w:r>
        <w:t>https://mcp.opencaselaw.ch/entscheid/ge_gerichte_DAAJ_120_2013</w:t>
      </w:r>
    </w:p>
    <w:p>
      <w:r>
        <w:t>FR: GE_GERICHTE DAAJ/120/2013 du 3 octobre 2013</w:t>
      </w:r>
    </w:p>
    <w:p>
      <w:r>
        <w:t>IT: GE_GERICHTE DAAJ/120/2013 del 3 ottobre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w:t>
      </w:r>
    </w:p>
    <w:p>
      <w:r>
        <w:t>- 3/5 -</w:t>
      </w:r>
    </w:p>
    <w:p>
      <w:r>
        <w:t>AC/2396/2013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Seules les charges réellement acquittées sont susceptibles d'entrer dans le calcul du minimum vital (ATF 135 I 221 consid. 5.1).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 Le paiement des frais de justice et des honoraires d'avocat nécessaires à la sauvegarde des droits de l'un des conjoints constitue une obligation solidaire des époux, découlant de leur devoir réciproque d'assistance et d'entretien (art. 159 et 163 CC ; DESCHENAUX/STEINAUER/BADDELEY, Les effets du mariage, 2009, p. 77-79 n. 47-50 ; STETTLER/GERMANI, Droit civil III, Effets généraux du mariage, 1999, p. 19 n. 27).</w:t>
      </w:r>
    </w:p>
    <w:p>
      <w:r>
        <w:t>- 4/5 -</w:t>
      </w:r>
    </w:p>
    <w:p>
      <w:r>
        <w:t>AC/2396/2013</w:t>
      </w:r>
    </w:p>
    <w:p>
      <w:r>
        <w:rPr>
          <w:b/>
        </w:rPr>
        <w:t>E. 2.2</w:t>
      </w:r>
    </w:p>
    <w:p>
      <w:r>
        <w:t>En l'espèce, conformément aux principes rappelés ci-dessus, dans la mesure où le recourant fait ménage commun avec son épouse, c'est à bon droit que le premier juge a fait masse des revenus et charges du couple pour examiner la situation financière du recourant, le fait que la procédure devant le TPAE n'ait pas été initiée par le recourant n'étant pas pertinent pour justifier une exception au principe de solidarité entre époux. Par ailleurs, les dettes du recourant ont à juste titre été écartées, dans la mesure où il n'a ni été allégué, ni prouvé qu'elles feraient l'objet d'un remboursement. Dès lors que le disponible mensuel du ménage du recourant dépasse de 2'570 fr. 15 le minimum vital élargi et de 2'910 fr. 15 le minimum vital strict en vigueur à Genève, l'Autorité de première instance n'a pas consacré une violation de la loi en retenant que la condition de l'indigence n'était pas remplie, étant précisé que le recourant n'expose pas quelles charges courantes qui auraient mené à l'endettement de son couple auraient arbitrairement été écartées par le premier juge. Partant, le recours, infondé, sera rejeté.</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- 5/5 -</w:t>
      </w:r>
    </w:p>
    <w:p>
      <w:r>
        <w:t>AC/2396/2013 PAR CES MOTIFS, LA VICE-PRÉSIDENTE DE LA COUR : À la forme : Déclare recevable le recours formé par A______ contre la décision rendue le 3 octobre 2013 par la Vice-présidente du Tribunal civil dans la cause AC/2396/2013. Au fond : Le rejette. Déboute A______ de toutes autres conclusions. Dit qu'il n'est pas perçu de frais judiciaires, ni alloué de dépens. Notifie une copie de la présente décision à A______ en l'Étude de Me Laura CARUSO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