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DAAJ/118/2023 vom 5. Juli 2023</w:t>
      </w:r>
    </w:p>
    <w:p>
      <w:r>
        <w:t>GE Cour de justice, 2023-07-05, FR</w:t>
      </w:r>
    </w:p>
    <w:p>
      <w:r>
        <w:rPr>
          <w:b/>
        </w:rPr>
        <w:t xml:space="preserve">Quelle: </w:t>
      </w:r>
      <w:r>
        <w:t>https://mcp.opencaselaw.ch/entscheid/ge_gerichte_DAAJ_118_2023</w:t>
      </w:r>
    </w:p>
    <w:p>
      <w:r>
        <w:t>FR: GE_GERICHTE DAAJ/118/2023 du 5 juillet 2023</w:t>
      </w:r>
    </w:p>
    <w:p>
      <w:r>
        <w:t>IT: GE_GERICHTE DAAJ/118/2023 del 5 luglio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nouvellement versées à la procédure, qui plus est postérieurement à la date à laquelle la cause a été gardée à juger,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- 5/8 -</w:t>
      </w:r>
    </w:p>
    <w:p>
      <w:r>
        <w:t>AC/1544/2023 ne pourront pas être prouvés (arrêt du Tribunal fédéral 4A_614/2015 du 25 avril 2016 consid. 3.2).</w:t>
      </w:r>
    </w:p>
    <w:p>
      <w:r>
        <w:rPr>
          <w:b/>
        </w:rPr>
        <w:t>E. 3.2.1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et susceptibles de faire douter le tribunal chargé de statuer sur la requête en cas clair (LACHAT/LACHAT, Procédure civile en matière de baux et loyers, 2019, p. 244).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3.3.1;141 III 262 consid. 3; arrêt du Tribunal fédéral 4A_422/2020 précité consid. 4.3 et les références citées).</w:t>
      </w:r>
    </w:p>
    <w:p>
      <w:r>
        <w:rPr>
          <w:b/>
        </w:rPr>
        <w:t>E. 3.2.2</w:t>
      </w:r>
    </w:p>
    <w:p>
      <w:r>
        <w:t>En application de l'art. 126 al. 1 CPC, le tribunal peut ordonner la suspension de la procédure si des motifs d’opportunité le commandent. La procédure peut notamment être suspendue lorsque la décision dépend du sort d’un autre procès.</w:t>
      </w:r>
    </w:p>
    <w:p>
      <w:r>
        <w:t>- 6/8 -</w:t>
      </w:r>
    </w:p>
    <w:p>
      <w:r>
        <w:t>AC/1544/2023 Selon la jurisprudence, la suspension de procédure comporte toutefois le risque de retarder inutilement la procédure, de sorte qu'elle n'est admise qu'à titre exceptionnel, eu égard à l'exigence de célérité posée par l'art. 29 al. 1 Cst.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Dans les cas limites, l'exigence de célérité l'emporte (arrêt du Tribunal fédéral 5A_263/2021 du 18 mai 2021 consid. 3.1 et les références)</w:t>
      </w:r>
    </w:p>
    <w:p>
      <w:r>
        <w:rPr>
          <w:b/>
        </w:rPr>
        <w:t>E. 3.2.3</w:t>
      </w:r>
    </w:p>
    <w:p>
      <w:r>
        <w:t>Selon l'art. 328 al. 1 CPC, une partie peut demander la révision de la décision entrée en force au tribunal qui a statué en dernière instance: (let. a) lorsqu'elle découvre après coup des faits pertinents ou des moyens de preuve concluants qu'elle n'avait pas pu invoquer dans la procédure précédente, à l'exclusion des faits et moyens de preuve postérieurs à la décision. Il doit s'agir de faits et de moyens de preuve qui existaient à l'époque du procès, mais qui, pour des motifs excusables, n'avaient pas pu être invoqués (novas improprement dits). Le point central de la révision est en effet l'ignorance, du côté de la partie non fautive potentiellement lésée, d'un élément qui aurait été susceptible d'influer sur l'issue de la cause. Celui qui procède de manière peu diligente ne saurait ainsi avoir accès à la révision (ATF 105 II 271; FF 2006 p. 6986 ss, p. 6987; SCHWEIZER, Commentaire romand CPC, 2019, n. 5 ad art. 328 CPC; ACJC/270/2016 du 26 février 2016). La partie qui invoque une ouverture à révision doit démontrer qu'elle ne pouvait pas invoquer le fait ou le moyen de preuve dans la procédure précédente malgré toute la diligence dont elle a fait preuve (arrêt du Tribunal fédéral 4A_105/2012 du 28 juin 2012 consid. 2.3).</w:t>
      </w:r>
    </w:p>
    <w:p>
      <w:r>
        <w:rPr>
          <w:b/>
        </w:rPr>
        <w:t>E. 3.2.4</w:t>
      </w:r>
    </w:p>
    <w:p>
      <w:r>
        <w:t>Une expertise privée établie pour l'une ou l'autre des parties ne constitue pas un moyen de preuve dans un éventuel procès, mais n'a que la valeur d'une simple allégation de la partie qui la produit en cause (arrêt du Tribunal fédéral 4D_8/2008 du 31 mars 2008 consid. 3.2.2). Si l'expertise privée est contestée de manière motivée par la partie adverse, l'expertise à elle seule ne saurait être probante. Elle peut cependant l'être pour autant qu'elle soit corroborée par des indices qui, eux, sont établis par des moyens de preuve (arrêts du Tribunal fédéral 5A_799/2021 du 12 avril 2022 consid. 3.2.2 et 5A_1040/2020 du 8 juin 2020 consid. 3.1.1 et 3.1.2 et les réf. cit.).</w:t>
      </w:r>
    </w:p>
    <w:p>
      <w:r>
        <w:rPr>
          <w:b/>
        </w:rPr>
        <w:t>E. 3.3</w:t>
      </w:r>
    </w:p>
    <w:p>
      <w:r>
        <w:t>En l'espèce, par jugement JTBL/502/2021 du 1er juin 2021, confirmé par arrêt de la Cour ACJC/116/2023 du 23 janvier 2023, le Tribunal des baux et loyers a déclaré efficace et valable le congé notifié aux locataires le 26 avril 2019 pour le 31 mai 2019, sur la base de l'art. 257d CO. En substance, le tribunal a estimé que le défaut affectant le logement avait été supprimé au plus tard en août 2015 et que les locataires ne pouvaient pas se prévaloir d'une réduction de loyer pour d'autres défauts en compensation, lesquels n'étaient au demeurant pas établis. Depuis le 17 novembre 2017, le loyer initial était ainsi à nouveau exigible.</w:t>
      </w:r>
    </w:p>
    <w:p>
      <w:r>
        <w:t>- 7/8 -</w:t>
      </w:r>
    </w:p>
    <w:p>
      <w:r>
        <w:t>AC/1544/2023 La demande de révision de l'arrêt ACJC/116/2023 précité semble, à première vue, vouée à l'échec. En effet, elle est fondée sur une expertise privée, qui en soi, ne constitue pas un moyen de preuve, mais une simple allégation d'une partie. Par ailleurs, cette expertise est datée du 20 janvier 2023, soit trois jours avant la reddition de l'arrêt en cause. Or, ladite expertise est censée établir des défauts affectant le logement occupé par la recourante depuis de nombreuses années. L'intéressée n'explique toutefois pas pour quels motifs elle aurait été empêchée de solliciter et de produire en temps utile, dans le cadre de la procédure en contestation du congé, le document dont elle se prévaut à l'appui de sa demande de révision. Au vu de ce qui précède, il paraît a priori douteux que les conditions de l'art. 328 al. 1 let. a CPC soient remplies, de sorte qu'il paraît peu vraisemblable que la procédure d'expulsion des locataires soit suspendue dans l'attente du sort de la demande de révision. Pour le surplus, dans la mesure où il résulte du jugement du 1er juin 2021 que la recourante est redevable de l'intégralité du loyer à compter du 17 novembre 2017, la situation factuelle et juridique semble claire au sens de l'art. 257 CPC en ce qui concerne le montant réclamé par le bailleur. Il résulte de ce qui précède que les moyens invoqués par la recourante pour sa défense à la procédure d'expulsion formée par le bailleur s'avèrent de prime abord dépourvus de chances de succès. C'est donc à juste titre que l'autorité de première instance a refusé de lui octroyer le bénéfice de l'assistance juridique. Partant, le recours, infondé, sera rejeté.</w:t>
      </w:r>
    </w:p>
    <w:p>
      <w:r>
        <w:rPr>
          <w:b/>
        </w:rPr>
        <w:t>E. 4</w:t>
      </w:r>
    </w:p>
    <w:p>
      <w:r>
        <w:t>Sauf exceptions non réalisées en l'espèce, il n'est pas perçu de frais judiciaires pour la procédure d'assistance juridique (art. 119 al. 6 CPC). * * * * *</w:t>
      </w:r>
    </w:p>
    <w:p>
      <w:r>
        <w:t>- 8/8 -</w:t>
      </w:r>
    </w:p>
    <w:p>
      <w:r>
        <w:t>AC/1544/2023 PAR CES MOTIFS, LA VICE-PRÉSIDENTE DE LA COUR : A la forme : Déclare recevable le recours formé le 31 juillet 2023 par A______ contre la décision rendue le</w:t>
      </w:r>
    </w:p>
    <w:p>
      <w:r>
        <w:rPr>
          <w:b/>
        </w:rPr>
        <w:t>E. 5</w:t>
      </w:r>
    </w:p>
    <w:p>
      <w:r>
        <w:t>juillet 2023 par la vice-présidence du Tribunal civil dans la cause AC/1544/2023.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