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DAAJ/117/2024 vom 28. Mai 2024</w:t>
      </w:r>
    </w:p>
    <w:p>
      <w:r>
        <w:t>GE Cour de justice, 2024-05-28, FR</w:t>
      </w:r>
    </w:p>
    <w:p>
      <w:r>
        <w:rPr>
          <w:b/>
        </w:rPr>
        <w:t xml:space="preserve">Quelle: </w:t>
      </w:r>
      <w:r>
        <w:t>https://mcp.opencaselaw.ch/entscheid/ge_gerichte_DAAJ_117_2024</w:t>
      </w:r>
    </w:p>
    <w:p>
      <w:r>
        <w:t>FR: GE_GERICHTE DAAJ/117/2024 du 28 mai 2024</w:t>
      </w:r>
    </w:p>
    <w:p>
      <w:r>
        <w:t>IT: GE_GERICHTE DAAJ/117/2024 del 28 maggio 2024</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2ème éd., 2016, n. 17 ad art. 118 CPC), soit en quelque sorte "à la carte" (RUEGG, in Basler Kommentar, Schweizerische Zivilprozessordnung, 2ème éd., 2013, n. 2 ad art. 118 CPC). L'octroi partiel peut ainsi prendre diverses formes selon les prestations accordées, l'étendue de ces prestations ou encore la phase de procès concernée (TAPPY, Commentaire romand, Code de procédure civile, 2ème éd., 2019, n. 24 ad art. 118 CPC). En application du principe de proportionnalité,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(DAAJ/56/2023 du 2 juin 2023 consid. 3.1; DAAJ/124/2022 du 21 décembre 2022 consid. 2.1.1; DAAJ/172/2021 du 16 décembre 2021 consid. 3.1). 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 3 al. 2 et 16 al. 2 RAJ; DAAJ/110/2020 du 15 décembre 2020 consid. 3.1.2; DAAJ/64/2015 du 14 septembre 2015 consid. 3.2).</w:t>
      </w:r>
    </w:p>
    <w:p>
      <w:r>
        <w:t>- 6/10 -</w:t>
      </w:r>
    </w:p>
    <w:p>
      <w:r>
        <w:t>AC/1422/2023 L'activité du défenseur d'office ne doit être prise en considération que dans la mesure où elle s'inscrit raisonnablement dans le cadre de l'accomplissement de sa tâche, à l'exclusion des démarches inutiles ou superflues (ATF 109 Ia 107 consid. 3a). Le juge peut revoir le temps de travail allégué par l'avocat, s'il l'estime exagéré en tenant compte des caractéristiques concrètes de l'affaire, et ne pas rétribuer ce qui ne s'inscrit pas raisonnablement dans le cadre de l'accomplissement de sa tâche (arrêt du Tribunal fédéral 5A_82/2018 du 15 juin 2018 consid. 6.2.2). A Genève, l'art. 16 al. 2 RAJ dispose que seules les heures nécessaires sont retenues et qu'elles sont appréciées en fonction notamment de la nature, de l'importance et des difficultés de la cause, de la valeur litigieuse, de la qualité du travail fourni et du résultat obtenu. 2.1.2. Selon l'art. 5 al. 1 RAJ, l'assistance juridique est en règle générale octroyée avec effet au jour du dépôt de la requête. Toute demande d'assistance juridique, même une extension du nombre d'heures d'activité d'avocat allouées, est soumise au principe de non-rétroactivité (arrêt du Tribunal fédéral 4A_523/2019 du 16 avril 2020 consid. 7; DAAJ/106/2019 du 12 septembre 2019 consid. 2.3). 2.1.3. Les dispositions qui régissent la compétence et la procédure en cas de divorce s'appliquant par analogie en matière d'annulation (A MARCA, Commentaire romand, Code civil I, 2ème éd., 2023, n. 9 ad art. 104 CC). Le jugement d'annulation du mariage règle en outre ses effets accessoires, le principe de l'unité du jugement de divorce s'appliquant par analogie (A MARCA, op. cit., n. 6 ad art. 109 CC). Une éventuelle contribution d'entretien en faveur de l'un des conjoints est possible après l'annulation du mariage aux mêmes conditions que les contributions d'entretien après le divorce (art. 125 CC; A MARCA, op. cit., n. 14 ad art. 109 CC). En matière de prévoyance professionnelle, les règles fixées aux art. 122 à 124 CC s'appliquent également par analogie aux cas d'annulation de mariage (A MARCA, op. cit., n. 17 ad art. 109 CC). En tant qu'elle porte sur le régime matrimonial et les contributions d'entretien, la procédure en annulation de mariage est soumise à la maxime des débats et au principe de disposition (art. 55 al. 1, 58 al. 1 et 277 al. 1 CPC), de sorte que le juge est lié par les conclusions des parties, lesquelles sont tenues de chiffrer leurs conclusions en paiement, sous peine d'irrecevabilité (art. 59 et 84 al. 2 CPC; ATF 142 III 102 consid. 3; arrêt du Tribunal fédéral 5A_871/2020 du 15 février 2021 consid. 3.3.1). Pour le reste de la procédure, la maxime inquisitoire s'applique (art. 277 al. 1 et 3 CPC; PELLATON, CPra Matrimonial, 2015, n. 34 ad art. 104 CC). La maxime d'office et la maxime inquisitoire sociale s'appliquent en particulier devant le premier juge concernant les questions qui</w:t>
      </w:r>
    </w:p>
    <w:p>
      <w:r>
        <w:t>- 7/10 -</w:t>
      </w:r>
    </w:p>
    <w:p>
      <w:r>
        <w:t>AC/1422/2023 touchent à la prévoyance professionnelle (art. 277 al. 1 et 3 CPC; arrêt du Tribunal fédéral 5A_912/2019 du 13 juillet 2020 consid. 3.4.1.1). 2.1.4. A teneur de l'art. 224 al. 1 CPC, le défendeur peut déposer une demande reconventionnelle dans sa réponse si la prétention qu'il invoque est soumise à la même procédure que la demande principale. La demande ne peut être modifiée aux débats principaux que si la prétention nouvelle ou modifiée relève de la même procédure et que la prétention nouvelle ou modifiée présente un lien de connexité avec la dernière prétention ou que la partie adverse consent à la modification de la demande et que la modification repose sur des faits ou des moyens de preuve nouveaux (art. 227 al. 1 et 230 al. 1 CPC). A teneur de l'art. 276 CPC, dans le cadre d'une procédure en divorce,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 Le tribunal ordonne les mesures provisionnelles nécessaires lorsque le requérant rend vraisemblable qu'une prétention dont il est titulaire est l'objet d'une atteinte ou risque de l'être et cette atteinte risque de lui causer un préjudice difficilement réparable (art. 261 al. 1 CPC). Le risque de préjudice difficilement réparable suppose l'urgence. Si le requérant tarde trop, sa requête risque d'être rejetée, dans le cas où le tribunal arrive à la conclusion qu'une procédure ordinaire introduite à temps aurait abouti à un jugement au fond dans des délais équivalents (BOHNET, Commentaire romand, CPC, 2ème éd. 2019, n. 12 ad art. 261 CPC).</w:t>
      </w:r>
    </w:p>
    <w:p>
      <w:r>
        <w:rPr>
          <w:b/>
        </w:rPr>
        <w:t>E. 2.2</w:t>
      </w:r>
    </w:p>
    <w:p>
      <w:r>
        <w:t>En l'espèce, l'essentiel de la demande d'extension de l'assistance juridique concerne l'activité déployée par le conseil du recourant pour la rédaction des "déterminations du défendeur sur écritures du 21.11.2023 et 26.02.2024 de la demanderesse – conclusions nouvelles – requête en mesures provisionnelles", écriture déposée le 26 avril 2024. En ce qui concerne les mesures provisionnelles requises, à savoir la fixation d'une contribution d'entretien en faveur du recourant, il est vrai que la situation personnelle du recourant a évolué depuis la dernière décision statuant sur cette question. En effet, lors du prononcé des mesures protectrices de l'union conjugale le 22 décembre 2022, le recourant était domicilié au Sri Lanka. Le Tribunal de première instance avait retenu comme hautement vraisemblable que le recourant couvrait ses propres charges dans ce pays au moyen des rentes qu'il percevait en Suisse. Depuis lors, le recourant est revenu vivre en Suisse, soit le 11 avril 2023. Il n'a en revanche déposé une requête de mesures provisionnelles tendant à la fixation d'une contribution d'entretien en sa faveur qu'une année plus tard, soit le 26 avril 2024, après le dépôt de son mémoire réponse à l'action en annulation du mariage du 3 mai 2023 – au terme de laquelle il n'a pas conclu à la fixation en sa faveur d'une contribution d'entretien – et après l'audience de débats</w:t>
      </w:r>
    </w:p>
    <w:p>
      <w:r>
        <w:t>- 8/10 -</w:t>
      </w:r>
    </w:p>
    <w:p>
      <w:r>
        <w:t>AC/1422/2023 d'instructions, débats principaux et premières plaidoiries du 21 novembre 2023 – lors de laquelle il n'a pas non plus pris de conclusions dans ce sens. Dans ces circonstances, comme l'a relevé à juste titre l'Autorité de première instance, le risque de préjudice difficilement réparable ou, autrement dit, l'urgence à fixer une contribution d'entretien en faveur du recourant n'est pas rendue vraisemblable. Le recourant ne critique en outre pas en appel le fait que l'Autorité précédente ait retenu vraisemblable qu'il couvrait ses propres charges par ses rentes AI. La requête de mesures provisionnelles du recourant ne présente ainsi que peu de chance de succès. S'agissant de la conclusion nouvelle du recourant figurant dans cette détermination écrite du 26 avril 2024, à savoir la demande reconventionnelle en divorce, c'est également à juste titre que l'Autorité précédente a retenu qu'elle apparaissait irrecevable en raison de sa tardiveté, celle-ci ayant été déposée après le mémoire réponse à l'action en annulation, déposé le 3 mai 2023 par le recourant. Cette demande reconventionnelle est également dénuée de chance de succès. Enfin, en ce qui concerne la modification des conclusions en annulation de mariage, en particulier l'ajout de conclusions subsidiaires tendant à la fixation d'une contribution d'entretien, à la liquidation du régime matrimonial et au partage des avoirs de prévoyance professionnelle, celles-ci ne semblent pas fondées sur des faits nouveaux. En effet, le seul fait que le recourant apparaît invoquer consiste en son retour en Suisse. Or, il ressort de la procédure qu'au moment du dépôt de son mémoire réponse à l'action en annulation de mariage le 3 mai 2023, le recourant était déjà de retour en Suisse, et ce depuis le 11 avril 2023. Il ne semble pas avoir été empêché de prendre les conclusions subsidiaires précitées dans le cadre de son mémoire réponse. Celles-ci, prises uniquement le 26 avril 2024, soit après l'ouverture des débats principaux et non fondés sur des faits nouveaux, apparaissent tardives et donc irrecevables, à l'exception de la question de la prévoyance professionnelle. Celle-ci étant soumise aux maximes inquisitoires et d'office, le Tribunal devra tenir compte de l'écriture du recourant du 26 avril 2024 à ce propos, celle-ci étant utile et nécessaire de ce point de vue-là. Ainsi, c'est à juste titre que l'Autorité précédente a retenu que l'activité déployée en lien avec les objets dénués de chances de succès ne pouvait être indemnisée par l'assistance juridique et serait, cas échéant, déduite de l'état de frais final du conseil du recourant. De même, comme l'a souligné l'Autorité précédente, les heures consacrées à la rédaction de l'écriture, effectuées du 8 au 26 avril 2024, sont antérieures à la demande d'extension de l'assistance juridique déposée le 2 mai 2024. Elles ne sauraient ainsi être indemnisées de manière rétroactive, ce que ne conteste au demeurant pas le recourant. En revanche, c'est à tort que l'Autorité précédente n'a retenu que 2h50 d'activité d'avocat admissibles, accomplies au 2 mai 2024, puisque la partie de l'écriture du 26 avril 2024 relative à la prévoyance professionnelle est utile et nécessaire. Il sera ainsi retenu un total de 3h50 d'activité d'avocat admissible, hors audiences et forfait</w:t>
      </w:r>
    </w:p>
    <w:p>
      <w:r>
        <w:t>- 9/10 -</w:t>
      </w:r>
    </w:p>
    <w:p>
      <w:r>
        <w:t>AC/1422/2023 courriers/téléphones, de sorte qu'il demeure au conseil du recourant un solde de 2h10 d'activité pour la suite de la procédure. A la lumière des éléments qui précèdent,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- 10/10 -</w:t>
      </w:r>
    </w:p>
    <w:p>
      <w:r>
        <w:t>AC/1422/2023 PAR CES MOTIFS, LA VICE-PRÉSIDENTE DE LA COUR : A la forme : Déclare recevable le recours formé par A______ contre la décision rendue le 28 mai 2024 par la vice-présidence du Tribunal civil dans la cause AC/1422/2023.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