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DAAJ/117/2021 vom 21. April 2021</w:t>
      </w:r>
    </w:p>
    <w:p>
      <w:r>
        <w:t>GE Cour de justice, 2021-04-21, FR</w:t>
      </w:r>
    </w:p>
    <w:p>
      <w:r>
        <w:rPr>
          <w:b/>
        </w:rPr>
        <w:t xml:space="preserve">Quelle: </w:t>
      </w:r>
      <w:r>
        <w:t>https://mcp.opencaselaw.ch/entscheid/ge_gerichte_DAAJ_117_2021</w:t>
      </w:r>
    </w:p>
    <w:p>
      <w:r>
        <w:t>FR: GE_GERICHTE DAAJ/117/2021 du 21 avril 2021</w:t>
      </w:r>
    </w:p>
    <w:p>
      <w:r>
        <w:t>IT: GE_GERICHTE DAAJ/117/2021 del 21 aprile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a été interjeté dans le délai utile et en la forme écrite prescrite par la loi. Bien qu'il ne contienne pas de conclusions formelles, l'autorité de céans comprend que la recourante, qui plaide en personne, sollicite l'annulation de la décision querellée et à être mise au bénéfice de l'assistance juridique. Le recours est donc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- 5/7 -</w:t>
      </w:r>
    </w:p>
    <w:p>
      <w:r>
        <w:t>AC/953/2021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l'occurrence, la recourante a requis l'assistance juridique dans le cadre de son recours enregistré pour déni de justice par-devant la CJCAS. Il convient donc d'examiner si ce recours apparait, prima facie, dénué de chance de succès.</w:t>
      </w:r>
    </w:p>
    <w:p>
      <w:r>
        <w:rPr>
          <w:b/>
        </w:rPr>
        <w:t>E. 3.1</w:t>
      </w:r>
    </w:p>
    <w:p>
      <w:r>
        <w:t>En vertu de l'art. 56 al. 2 de la loi fédérale sur la partie générale du droit des assurances sociales du 6 octobre 2000 (LPGA - RS 830.1), qui sert à mettre en œuvre l'interdiction du déni de justice formel prévue par les art. 29 al. 1 de la Constitution fédérale de la Confédération suisse du 18 avril 1999 (Cst. - RS 101) et 6 § 1 de la Convention de sauvegarde des droits de l'homme et des libertés fondamentales du</w:t>
      </w:r>
    </w:p>
    <w:p>
      <w:r>
        <w:rPr>
          <w:b/>
        </w:rPr>
        <w:t>E. 3.2</w:t>
      </w:r>
    </w:p>
    <w:p>
      <w:r>
        <w:t>En l'espèce, la recourante s'est, en substance, plainte de sa conseillère et du déroulement de son stage, par divers courriers et courriels adressés à l'OCAS entre janvier et février 2021. Elle a ensuite saisi la CJCAS le 16 mars 2021, alléguant ne pas avoir reçu de réponse à ses plaintes. Comme l'a retenu à juste titre la Vice-présidente du Tribunal de première instance, il apparait qu'aucune décision formelle n'a été rendue, puisque la lettre du 3 mars 2021 n'est pas assimilable à un tel acte. Le recours interjeté par la recourante devrait ainsi en principe être déclaré irrecevable, sous réserve d'un éventuel déni de justice, raison pour laquelle, d'ailleurs, une procédure en ce sens a été enregistrée auprès de la CJCAS. S'agissant du déni de justice, il faudrait que la recourante ait au préalable adressé à l'autorité une mise en demeure formelle de rendre une décision, ce qui doit a priori être</w:t>
      </w:r>
    </w:p>
    <w:p>
      <w:r>
        <w:t>- 6/7 -</w:t>
      </w:r>
    </w:p>
    <w:p>
      <w:r>
        <w:t>AC/953/2021 nié puisque les plaintes en questions semblent plus l'expression de son mécontentement qu'une réelle demande de rendre une décision. Par ailleurs, force est de constater qu'entre les plaintes adressées à l'OCAS et la saisine de la CJCAS, il s'est écoulé tout au plus deux mois, ce qui a priori n'est pas un laps de temps suffisant pour être constitutif d'un retard injustifié. Quoi qu'il en soit, il n'apparait pas que la recourante dispose d'un droit à obtenir une décision formelle sur la base de ses plaintes au sujet de l'organisation des mesures mises en œuvre par l'OCAI, qui relèvent d'actes matériels de l'administration dont l'exécution par la force publique n'est pas possible (cf. arrêt du Tribunal fédéral 9C_72/2011 du 20 juin 2011, consid. 2.3). Compte tenu de ce qui précède, c'est à bon droit et dans le respect de son pouvoir d'appréciation que la Vice-présidente du Tribunal civil a considéré que la cause de la recourante était dépourvue de chances de succès et qu'elle a refusé l'assistance juridique pour cette procédure. Partant, le recours infondé, sera rejeté.</w:t>
      </w:r>
    </w:p>
    <w:p>
      <w:r>
        <w:rPr>
          <w:b/>
        </w:rPr>
        <w:t>E. 4</w:t>
      </w:r>
    </w:p>
    <w:p>
      <w:r>
        <w:t>Sauf exceptions non réalisées en l'espèce, il n'est pas perçu de frais judiciaires pour la procédure d'assistance juridique (art. 119 al. 6 CPC).</w:t>
      </w:r>
    </w:p>
    <w:p>
      <w:r>
        <w:t>* * * * *</w:t>
      </w:r>
    </w:p>
    <w:p>
      <w:r>
        <w:t>- 7/7 -</w:t>
      </w:r>
    </w:p>
    <w:p>
      <w:r>
        <w:t>AC/953/2021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