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DAAJ/115/2016 vom 29. August 2016</w:t>
      </w:r>
    </w:p>
    <w:p>
      <w:r>
        <w:t>GE Cour de justice, 2016-08-29, FR</w:t>
      </w:r>
    </w:p>
    <w:p>
      <w:r>
        <w:rPr>
          <w:b/>
        </w:rPr>
        <w:t xml:space="preserve">Quelle: </w:t>
      </w:r>
      <w:r>
        <w:t>https://mcp.opencaselaw.ch/entscheid/ge_gerichte_DAAJ_115_2016</w:t>
      </w:r>
    </w:p>
    <w:p>
      <w:r>
        <w:t>FR: GE_GERICHTE DAAJ/115/2016 du 29 août 2016</w:t>
      </w:r>
    </w:p>
    <w:p>
      <w:r>
        <w:t>IT: GE_GERICHTE DAAJ/115/2016 del 29 agosto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conclut à ce que l'Autorité de première instance soit invitée à produire la décision octroyant l'assistance juridique à son épouse. Vu l'issue du recours (cf. infra ch. 3.3.3), il ne sera pas donné suite à cette requête.</w:t>
      </w:r>
    </w:p>
    <w:p>
      <w:r>
        <w:rPr>
          <w:b/>
        </w:rPr>
        <w:t>E. 3</w:t>
      </w:r>
    </w:p>
    <w:p>
      <w:r>
        <w:t>Contestant les revenus et les charges pris en compte pour établir la situation financière du ménage, le recourant reproche au premier juge d'avoir considéré que la condition d'indigence n'est pas remplie.</w:t>
      </w:r>
    </w:p>
    <w:p>
      <w:r>
        <w:t>- 4/7 -</w:t>
      </w:r>
    </w:p>
    <w:p>
      <w:r>
        <w:t>AC/2397/2016</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(ATF 135 I 221 consid. 5.1; arrêt du Tribunal fédéral 2C_585/2015 du 30 novembre 2015 consid. 5; art. 119 al. 2 CPC et</w:t>
      </w:r>
    </w:p>
    <w:p>
      <w:r>
        <w:rPr>
          <w:b/>
        </w:rPr>
        <w:t>E. 3.2</w:t>
      </w:r>
    </w:p>
    <w:p>
      <w:r>
        <w:t>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sus que l'affaire présente des difficultés en fait et en droit que le requérant ou son représentant légal ne peuvent surmonter seuls (ATF 130 I 180 consid. 2.2 et les arrêts cités). Le point décisif</w:t>
      </w:r>
    </w:p>
    <w:p>
      <w:r>
        <w:t>- 5/7 -</w:t>
      </w:r>
    </w:p>
    <w:p>
      <w:r>
        <w:t>AC/2397/2016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du Tribunal fédéral 2D_73/2015 du 30 juin 2016 consid. 6.1). 3.3.1. En l'espèce, conformément aux principes rappelés ci-dessus, c'est à juste titre que les revenus de l'épouse ont été pris en considération pour déterminer la situation financière du recourant, dans la mesure où les époux font encore ménage commun. Le salaire mensuel net du recourant s'élève à 5'593 fr. environ (5'163 fr. x 13/12) et celui de son épouse se monte à 1'091 fr. environ (1'007 fr. 60 x 13/12). Le ménage du recourant dispose ainsi de ressources mensuelles totales de 8'184 fr. (5'593 fr. + 1'091 fr. + 1'500 fr. d'allocations familiales). En ce qui concerne les charges, le recourant conteste percevoir des allocations de logement en 2016. Cependant, le fait qu'il ait payé l'intégralité du loyer au mois de mai 2016 ne suffit pas à démontrer la véracité de cet allégué, ce d'autant plus que lesdites allocations sont en principe versées directement au locataire et non au bailleur, sauf cas exceptionnel. Aucun élément du dossier ne permet par ailleurs de penser que la situation familiale aurait changé de manière à ce que la famille du recourant n'ait plus droit auxdites allocations. Il est donc vraisemblable que celle-ci bénéficie des mêmes allocations qu'en 2015. C'est ainsi à juste titre que le premier juge a déduit 416 fr. d'allocations de logement du montant du loyer. Les frais de cuisine scolaire de 86 fr. par mois ont bien été pris en compte dans le calcul de l'Autorité de première instance, bien que ce montant ait apparemment été oublié dans l'exposé des charges retenues. C'est à juste titre que l'arrangement de paiement accordé par l'Administration fiscale à compter du mois d'octobre 2016 a été écarté, dans la mesure où seule la situation financière existant au moment du dépôt de la requête est déterminante. En revanche, en ce qui concerne l'assurance-maladie, le premier juge a omis de prendre en compte les primes LAMal versées auprès de Helsana, à hauteur de 545 fr. Ce montant sera donc ajouté aux charges du ménage. Compte tenu de ce qui précède, les charges mensuelles admissibles du ménage s'élèvent à 7'630 fr. 70, comprenant 1'596 fr. de loyer (2'012 fr. – 416 fr.), 1'113 fr. 70 de primes d'assurance-maladie LAMal (568 fr. 70 + 545 fr.), subsides déduits, 155 fr. d'impôts,</w:t>
      </w:r>
    </w:p>
    <w:p>
      <w:r>
        <w:t>- 6/7 -</w:t>
      </w:r>
    </w:p>
    <w:p>
      <w:r>
        <w:t>AC/2397/2016 86 fr. de frais de cuisine scolaire, 3'900 fr. d'entretien de base OP ainsi qu'une majoration de 20% de ce dernier montant (780 fr.). Le ménage du recourant bénéficie ainsi mensuellement d'un solde disponible de 550 fr. environ par mois (8'184 fr. - 7'630 fr. 70). Ce montant paraît vraisemblablement insuffisant pour couvrir les honoraires de l'avocate du recourant pour la procédure de mesures protectrices de l'union conjugale, de sorte que la condition d'indigence est remplie. Le recours sera donc admis et la décision entreprise sera annulée. 3.3.2. La juge du fond ayant relevé que la procédure opposant le recourant à son épouse comportait une certaine complexité, la condition de la nécessité d'être représenté par un avocat paraît également remplie, de sorte qu'il n'y a pas lieu de renvoyer la cause au Vice-président du Tribunal civil pour instruction complémentaire.</w:t>
      </w:r>
    </w:p>
    <w:p>
      <w:r>
        <w:t>3.3.3. Compte tenu des éléments qui précèdent, il sera fait droit à la requête d'assistance juridique du recourant. Cependant, comme il bénéficie d'un solde disponible de plus de 500 fr. par mois, l'octroi de l'aide étatique sera subordonné au versement d'une participation mensuelle de 50 fr. 4.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AC/2397/2016 PAR CES MOTIFS, LE VICE-PRÉSIDENT DE LA COUR : A la forme : Déclare recevable le recours formé par A_______ contre la décision rendue le 29 août 2016 par le Vice-président du Tribunal civil dans la cause AC/2397/2016. Au fond : Annule la décision entreprise et cela fait : Met A_______ au bénéfice de l'assistance juridique pour sa défense dans la cause C/14985/2016 l'opposant à son épouse. Commet à cette fin Me Johanna BÜRGISSER, avocate. Subordonne l'octroi de l'assistance juridique au versement d'une participation mensuelle de 50 fr. Déboute A_______ de toutes autres conclusions. Dit qu'il n'est pas perçu de frais judiciaires pour le recours, ni alloué de dépens. Notifie une copie de la présente décision à A_______ en l'Étude de Me Joanna BÜRGISSER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7</w:t>
      </w:r>
    </w:p>
    <w:p>
      <w:r>
        <w:t>al. 2 RAJ), seules les charges réellement acquittées étant susceptibles d'entrer dans le calcul du minimum vital (ATF 135 I 221 consid. 5.1; arrêt du Tribunal fédéral 4D_19/2016 précité consid. 4.1).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5A_556/2014 du 4 mars 2015 consid. 3.1).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