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DAAJ/111/2016 vom 29. Juli 2016</w:t>
      </w:r>
    </w:p>
    <w:p>
      <w:r>
        <w:t>GE Cour de justice, 2016-07-29, FR</w:t>
      </w:r>
    </w:p>
    <w:p>
      <w:r>
        <w:rPr>
          <w:b/>
        </w:rPr>
        <w:t xml:space="preserve">Quelle: </w:t>
      </w:r>
      <w:r>
        <w:t>https://mcp.opencaselaw.ch/entscheid/ge_gerichte_DAAJ_111_2016</w:t>
      </w:r>
    </w:p>
    <w:p>
      <w:r>
        <w:t>FR: GE_GERICHTE DAAJ/111/2016 du 29 juillet 2016</w:t>
      </w:r>
    </w:p>
    <w:p>
      <w:r>
        <w:t>IT: GE_GERICHTE DAAJ/111/2016 del 29 luglio 2016</w:t>
      </w:r>
    </w:p>
    <w:p>
      <w:pPr>
        <w:pStyle w:val="Heading2"/>
      </w:pPr>
      <w:r>
        <w:t>Erwägungen</w:t>
      </w:r>
    </w:p>
    <w:p>
      <w:r>
        <w:rPr>
          <w:b/>
        </w:rPr>
        <w:t>E. 2</w:t>
      </w:r>
    </w:p>
    <w:p>
      <w:r>
        <w:t>CC permet aux personnes proches de la personne concernée de recourir contre certaines décisions de l'Autorité de protection de l'adulte,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 Le droit de consulter le dossier n'existe pas seulement pour les procédures en cours, mais aussi pour celles déjà closes étant précisé que dans ce dernier cas, la personne qui présente la requête doit alors justifier d'un intérêt particulier (STECK, Protection de l'adulte, 2013, ad art. 449b, n. 10, p. 900; ATF 130 III 42; 129 I 249; 127 I 145; 125 I 257); On doit admettre l'existence d'un intérêt digne de protection lorsque la consultation est motivée par l'existence d'une procédure en cours, le droit de consulter le dossier pouvant toutefois être refusée en tout ou en partie lorsque l'intérêt public ou des intérêts prépondérants de tiers s'y opposent (ATF 129 I 249, 127 I 145; STECK, op. cit., n. 10, p. 900). 3.3. L'autorité de protection de l'adulte est tenue au secret, à moins que des intérêts prépondérants ne s'y opposent (art. 451 al. 1 CC).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L'obligation de garder le secret vaut en particulier à l'égard des proches (par ex. les parents stricto sensu, le conjoint, le partenaire, les enfants), sauf si la personne concernée a consenti à ce que des informations la concernant soient transmises, ou si elle a un "intérêt prépondérant" à la transmission d'informations (art. 451 al. 1 CC) ou, enfin, si des proches jouissent d'un droit de consulter le dossier en leur qualité de parties à la procédure (COTTIER/HASSLER, Protection de l'adulte, n. 10 ad art. 451 CC). 3.4. En l'espèce, il ressort du dossier que lorsque le recourant a demandé la levée de la mesure de curatelle instituée en faveur de sa fille, le Tribunal de protection lui a seulement donné accès aux pièces pertinentes et non à l'intégralité du dossier relatif à la cause C/_____. Ce pan de la procédure a pris fin par décision du 9 mars 2015, rejetant la</w:t>
      </w:r>
    </w:p>
    <w:p>
      <w:r>
        <w:t>- 7/8 -</w:t>
      </w:r>
    </w:p>
    <w:p>
      <w:r>
        <w:t>AC/1661/2016 requête du recourant. Ce dernier souhaiterait désormais avoir accès aux éléments du dossier qui sont en lien avec la décision rendue en février 2016. Cela étant, la demande de sortie de la résidence E______ ayant été formée par la fille du recourant, ce dernier n'était pas partie à la procédure et n'a donc, a priori, aucun droit à consulter les pièces du dossier y relatives, étant précisé que l'art. 53 al. 2 CPC dont il se prévaut ne lui confère pas plus de droits que l'art. 449b al. 1 CC. De prime abord, conformément aux principes rappelés ci-dessus, c'est ainsi à bon droit que le Tribunal de protection a invoqué son obligation de secret. Par ailleurs, dans la mesure où le recourant a mentionné qu'il avait besoin d'être représenté par un avocat aux fins d'intenter une action en responsabilité contre l'Etat, c'est à juste titre que le Vice-président du Tribunal civil s'est prononcé sur sa qualité pour agir en lien avec une telle procédure. L'analyse du premier juge sur ce point doit d'ailleurs être confirmée par adoption de motifs. Compte tenu de ce qui précède, le Vice-président du Tribunal civil n'a pas excédé son pouvoir d'appréciation en considérant que le recours formé par le recourant devant la Chambre de surveillance de la Cour de justice était dénué de chances de succès. Partant, le recours, infondé, sera rejeté.</w:t>
      </w:r>
    </w:p>
    <w:p>
      <w:r>
        <w:rPr>
          <w:b/>
        </w:rPr>
        <w:t>E. 4</w:t>
      </w:r>
    </w:p>
    <w:p>
      <w:r>
        <w:t>Sauf exceptions non réalisées en l'espèce, il n'est pas perçu de frais judiciaires pour la procédure d'assistance juridique (art. 119 al. 6 CPC). * * * * *</w:t>
      </w:r>
    </w:p>
    <w:p>
      <w:r>
        <w:t>- 8/8 -</w:t>
      </w:r>
    </w:p>
    <w:p>
      <w:r>
        <w:t>AC/1661/2016 PAR CES MOTIFS, LE VICE-PRÉSIDENT DE LA COUR : A la forme : Déclare recevable le recours formé par A______ contre la décision rendue le 29 juillet 2016 par le Vice-président du Tribunal civil dans la cause AC/1661/2016.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